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76A40C">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pPr>
    </w:p>
    <w:p w14:paraId="3CB36381">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pPr>
    </w:p>
    <w:p w14:paraId="3E405673">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pPr>
    </w:p>
    <w:p w14:paraId="6B49D487">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pPr>
    </w:p>
    <w:p w14:paraId="1F5357E2">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textAlignment w:val="baseline"/>
      </w:pPr>
    </w:p>
    <w:p w14:paraId="1AFDD4BD">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pPr>
    </w:p>
    <w:p w14:paraId="349F4CD6">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pPr>
    </w:p>
    <w:p w14:paraId="340A356E">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pPr>
    </w:p>
    <w:p w14:paraId="238DF7A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outlineLvl w:val="0"/>
        <w:rPr>
          <w:rFonts w:ascii="微软雅黑" w:hAnsi="微软雅黑" w:eastAsia="微软雅黑" w:cs="微软雅黑"/>
          <w:sz w:val="43"/>
          <w:szCs w:val="43"/>
        </w:rPr>
      </w:pPr>
      <w:bookmarkStart w:id="0" w:name="_Toc16098"/>
      <w:bookmarkStart w:id="1" w:name="_Toc6699"/>
      <w:bookmarkStart w:id="2" w:name="_Toc6637"/>
      <w:bookmarkStart w:id="3" w:name="_Toc19841"/>
      <w:bookmarkStart w:id="4" w:name="_Toc13157"/>
      <w:bookmarkStart w:id="5" w:name="_Toc5957"/>
      <w:bookmarkStart w:id="6" w:name="_Toc7929"/>
      <w:bookmarkStart w:id="7" w:name="_Toc2060"/>
      <w:bookmarkStart w:id="8" w:name="_Toc1037"/>
      <w:bookmarkStart w:id="9" w:name="_Toc3586"/>
      <w:r>
        <w:rPr>
          <w:rFonts w:ascii="微软雅黑" w:hAnsi="微软雅黑" w:eastAsia="微软雅黑" w:cs="微软雅黑"/>
          <w:spacing w:val="99"/>
          <w:sz w:val="43"/>
          <w:szCs w:val="43"/>
        </w:rPr>
        <w:t>郑州青年职业中等专业学校</w:t>
      </w:r>
      <w:bookmarkEnd w:id="0"/>
      <w:bookmarkEnd w:id="1"/>
      <w:bookmarkEnd w:id="2"/>
      <w:bookmarkEnd w:id="3"/>
      <w:bookmarkEnd w:id="4"/>
      <w:bookmarkEnd w:id="5"/>
      <w:bookmarkEnd w:id="6"/>
      <w:bookmarkEnd w:id="7"/>
      <w:bookmarkEnd w:id="8"/>
      <w:bookmarkEnd w:id="9"/>
    </w:p>
    <w:p w14:paraId="0765A07B">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pPr>
    </w:p>
    <w:p w14:paraId="2C65DF70">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pPr>
      <w:bookmarkStart w:id="949" w:name="_GoBack"/>
      <w:bookmarkEnd w:id="949"/>
    </w:p>
    <w:p w14:paraId="4262DAC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outlineLvl w:val="0"/>
        <w:rPr>
          <w:rFonts w:ascii="微软雅黑" w:hAnsi="微软雅黑" w:eastAsia="微软雅黑" w:cs="微软雅黑"/>
          <w:sz w:val="43"/>
          <w:szCs w:val="43"/>
        </w:rPr>
      </w:pPr>
      <w:bookmarkStart w:id="10" w:name="_Toc32317"/>
      <w:bookmarkStart w:id="11" w:name="_Toc26604"/>
      <w:bookmarkStart w:id="12" w:name="_Toc27519"/>
      <w:bookmarkStart w:id="13" w:name="_Toc12397"/>
      <w:bookmarkStart w:id="14" w:name="_Toc27764"/>
      <w:bookmarkStart w:id="15" w:name="_Toc29722"/>
      <w:bookmarkStart w:id="16" w:name="_Toc21311"/>
      <w:bookmarkStart w:id="17" w:name="_Toc7718"/>
      <w:bookmarkStart w:id="18" w:name="_Toc4095"/>
      <w:bookmarkStart w:id="19" w:name="_Toc31070"/>
      <w:r>
        <w:rPr>
          <w:rFonts w:ascii="微软雅黑" w:hAnsi="微软雅黑" w:eastAsia="微软雅黑" w:cs="微软雅黑"/>
          <w:spacing w:val="10"/>
          <w:sz w:val="43"/>
          <w:szCs w:val="43"/>
        </w:rPr>
        <w:t>质量报告（202</w:t>
      </w:r>
      <w:r>
        <w:rPr>
          <w:rFonts w:hint="eastAsia" w:ascii="微软雅黑" w:hAnsi="微软雅黑" w:eastAsia="微软雅黑" w:cs="微软雅黑"/>
          <w:spacing w:val="10"/>
          <w:sz w:val="43"/>
          <w:szCs w:val="43"/>
          <w:lang w:val="en-US" w:eastAsia="zh-CN"/>
        </w:rPr>
        <w:t>5</w:t>
      </w:r>
      <w:r>
        <w:rPr>
          <w:rFonts w:ascii="微软雅黑" w:hAnsi="微软雅黑" w:eastAsia="微软雅黑" w:cs="微软雅黑"/>
          <w:spacing w:val="10"/>
          <w:sz w:val="43"/>
          <w:szCs w:val="43"/>
        </w:rPr>
        <w:t>年）</w:t>
      </w:r>
      <w:bookmarkEnd w:id="10"/>
      <w:bookmarkEnd w:id="11"/>
      <w:bookmarkEnd w:id="12"/>
      <w:bookmarkEnd w:id="13"/>
      <w:bookmarkEnd w:id="14"/>
      <w:bookmarkEnd w:id="15"/>
      <w:bookmarkEnd w:id="16"/>
      <w:bookmarkEnd w:id="17"/>
      <w:bookmarkEnd w:id="18"/>
      <w:bookmarkEnd w:id="19"/>
    </w:p>
    <w:p w14:paraId="5AACF43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ascii="微软雅黑" w:hAnsi="微软雅黑" w:eastAsia="微软雅黑" w:cs="微软雅黑"/>
          <w:sz w:val="43"/>
          <w:szCs w:val="43"/>
        </w:rPr>
        <w:sectPr>
          <w:footerReference r:id="rId5" w:type="default"/>
          <w:pgSz w:w="11906" w:h="16839"/>
          <w:pgMar w:top="1431" w:right="1785" w:bottom="1978" w:left="1785" w:header="0" w:footer="1801" w:gutter="0"/>
          <w:pgNumType w:fmt="decimal"/>
          <w:cols w:space="720" w:num="1"/>
        </w:sectPr>
      </w:pPr>
    </w:p>
    <w:p w14:paraId="656F5C12">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textAlignment w:val="baseline"/>
        <w:rPr>
          <w:rFonts w:hint="eastAsia" w:eastAsia="宋体"/>
          <w:lang w:eastAsia="zh-CN"/>
        </w:rPr>
      </w:pPr>
    </w:p>
    <w:sdt>
      <w:sdtPr>
        <w:rPr>
          <w:rFonts w:ascii="宋体" w:hAnsi="宋体" w:eastAsia="宋体" w:cs="Arial"/>
          <w:snapToGrid w:val="0"/>
          <w:color w:val="000000"/>
          <w:kern w:val="0"/>
          <w:sz w:val="21"/>
          <w:szCs w:val="21"/>
          <w:lang w:val="en-US" w:eastAsia="en-US" w:bidi="ar-SA"/>
        </w:rPr>
        <w:id w:val="147468728"/>
        <w15:color w:val="DBDBDB"/>
        <w:docPartObj>
          <w:docPartGallery w:val="Table of Contents"/>
          <w:docPartUnique/>
        </w:docPartObj>
      </w:sdtPr>
      <w:sdtEndPr>
        <w:rPr>
          <w:rFonts w:ascii="Arial" w:hAnsi="Arial" w:eastAsia="Arial" w:cs="Arial"/>
          <w:snapToGrid w:val="0"/>
          <w:color w:val="000000"/>
          <w:kern w:val="0"/>
          <w:sz w:val="24"/>
          <w:szCs w:val="24"/>
          <w:lang w:val="en-US" w:eastAsia="en-US" w:bidi="ar-SA"/>
        </w:rPr>
      </w:sdtEndPr>
      <w:sdtContent>
        <w:p w14:paraId="2CA6B1AC">
          <w:pPr>
            <w:pStyle w:val="17"/>
            <w:bidi w:val="0"/>
            <w:jc w:val="center"/>
            <w:rPr>
              <w:b/>
              <w:bCs/>
              <w:sz w:val="44"/>
              <w:szCs w:val="44"/>
            </w:rPr>
          </w:pPr>
          <w:r>
            <w:rPr>
              <w:rFonts w:ascii="宋体" w:hAnsi="宋体" w:eastAsia="宋体"/>
              <w:b/>
              <w:bCs/>
              <w:sz w:val="44"/>
              <w:szCs w:val="44"/>
            </w:rPr>
            <w:t>目录</w:t>
          </w:r>
        </w:p>
        <w:p w14:paraId="59E7EBAD">
          <w:pPr>
            <w:pStyle w:val="10"/>
            <w:tabs>
              <w:tab w:val="right" w:leader="dot" w:pos="8336"/>
            </w:tabs>
            <w:spacing w:line="360" w:lineRule="auto"/>
            <w:rPr>
              <w:sz w:val="24"/>
              <w:szCs w:val="24"/>
            </w:rPr>
          </w:pPr>
          <w:r>
            <w:rPr>
              <w:b/>
              <w:sz w:val="24"/>
              <w:szCs w:val="24"/>
            </w:rPr>
            <w:fldChar w:fldCharType="begin"/>
          </w:r>
          <w:r>
            <w:rPr>
              <w:b/>
              <w:sz w:val="24"/>
              <w:szCs w:val="24"/>
            </w:rPr>
            <w:instrText xml:space="preserve">TOC \o "1-3" \h \u </w:instrText>
          </w:r>
          <w:r>
            <w:rPr>
              <w:b/>
              <w:sz w:val="24"/>
              <w:szCs w:val="24"/>
            </w:rPr>
            <w:fldChar w:fldCharType="separate"/>
          </w:r>
          <w:r>
            <w:rPr>
              <w:sz w:val="24"/>
              <w:szCs w:val="24"/>
            </w:rPr>
            <w:fldChar w:fldCharType="begin"/>
          </w:r>
          <w:r>
            <w:rPr>
              <w:sz w:val="24"/>
              <w:szCs w:val="24"/>
            </w:rPr>
            <w:instrText xml:space="preserve"> HYPERLINK \l _Toc5957 </w:instrText>
          </w:r>
          <w:r>
            <w:rPr>
              <w:sz w:val="24"/>
              <w:szCs w:val="24"/>
            </w:rPr>
            <w:fldChar w:fldCharType="separate"/>
          </w:r>
          <w:r>
            <w:rPr>
              <w:rFonts w:ascii="微软雅黑" w:hAnsi="微软雅黑" w:eastAsia="微软雅黑" w:cs="微软雅黑"/>
              <w:spacing w:val="99"/>
              <w:sz w:val="24"/>
              <w:szCs w:val="24"/>
            </w:rPr>
            <w:t>郑州青年职业中等专业学校</w:t>
          </w:r>
          <w:r>
            <w:rPr>
              <w:sz w:val="24"/>
              <w:szCs w:val="24"/>
            </w:rPr>
            <w:tab/>
          </w:r>
          <w:r>
            <w:rPr>
              <w:sz w:val="24"/>
              <w:szCs w:val="24"/>
            </w:rPr>
            <w:fldChar w:fldCharType="begin"/>
          </w:r>
          <w:r>
            <w:rPr>
              <w:sz w:val="24"/>
              <w:szCs w:val="24"/>
            </w:rPr>
            <w:instrText xml:space="preserve"> PAGEREF _Toc5957 \h </w:instrText>
          </w:r>
          <w:r>
            <w:rPr>
              <w:sz w:val="24"/>
              <w:szCs w:val="24"/>
            </w:rPr>
            <w:fldChar w:fldCharType="separate"/>
          </w:r>
          <w:r>
            <w:rPr>
              <w:sz w:val="24"/>
              <w:szCs w:val="24"/>
            </w:rPr>
            <w:t>1</w:t>
          </w:r>
          <w:r>
            <w:rPr>
              <w:sz w:val="24"/>
              <w:szCs w:val="24"/>
            </w:rPr>
            <w:fldChar w:fldCharType="end"/>
          </w:r>
          <w:r>
            <w:rPr>
              <w:sz w:val="24"/>
              <w:szCs w:val="24"/>
            </w:rPr>
            <w:fldChar w:fldCharType="end"/>
          </w:r>
        </w:p>
        <w:p w14:paraId="2C68975B">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_Toc4095 </w:instrText>
          </w:r>
          <w:r>
            <w:rPr>
              <w:sz w:val="24"/>
              <w:szCs w:val="24"/>
            </w:rPr>
            <w:fldChar w:fldCharType="separate"/>
          </w:r>
          <w:r>
            <w:rPr>
              <w:rFonts w:ascii="微软雅黑" w:hAnsi="微软雅黑" w:eastAsia="微软雅黑" w:cs="微软雅黑"/>
              <w:spacing w:val="10"/>
              <w:sz w:val="24"/>
              <w:szCs w:val="24"/>
            </w:rPr>
            <w:t>质量报告（202</w:t>
          </w:r>
          <w:r>
            <w:rPr>
              <w:rFonts w:hint="eastAsia" w:ascii="微软雅黑" w:hAnsi="微软雅黑" w:eastAsia="微软雅黑" w:cs="微软雅黑"/>
              <w:spacing w:val="10"/>
              <w:sz w:val="24"/>
              <w:szCs w:val="24"/>
              <w:lang w:val="en-US" w:eastAsia="zh-CN"/>
            </w:rPr>
            <w:t>5</w:t>
          </w:r>
          <w:r>
            <w:rPr>
              <w:rFonts w:ascii="微软雅黑" w:hAnsi="微软雅黑" w:eastAsia="微软雅黑" w:cs="微软雅黑"/>
              <w:spacing w:val="10"/>
              <w:sz w:val="24"/>
              <w:szCs w:val="24"/>
            </w:rPr>
            <w:t>年）</w:t>
          </w:r>
          <w:r>
            <w:rPr>
              <w:sz w:val="24"/>
              <w:szCs w:val="24"/>
            </w:rPr>
            <w:tab/>
          </w:r>
          <w:r>
            <w:rPr>
              <w:sz w:val="24"/>
              <w:szCs w:val="24"/>
            </w:rPr>
            <w:fldChar w:fldCharType="begin"/>
          </w:r>
          <w:r>
            <w:rPr>
              <w:sz w:val="24"/>
              <w:szCs w:val="24"/>
            </w:rPr>
            <w:instrText xml:space="preserve"> PAGEREF _Toc4095 \h </w:instrText>
          </w:r>
          <w:r>
            <w:rPr>
              <w:sz w:val="24"/>
              <w:szCs w:val="24"/>
            </w:rPr>
            <w:fldChar w:fldCharType="separate"/>
          </w:r>
          <w:r>
            <w:rPr>
              <w:sz w:val="24"/>
              <w:szCs w:val="24"/>
            </w:rPr>
            <w:t>1</w:t>
          </w:r>
          <w:r>
            <w:rPr>
              <w:sz w:val="24"/>
              <w:szCs w:val="24"/>
            </w:rPr>
            <w:fldChar w:fldCharType="end"/>
          </w:r>
          <w:r>
            <w:rPr>
              <w:sz w:val="24"/>
              <w:szCs w:val="24"/>
            </w:rPr>
            <w:fldChar w:fldCharType="end"/>
          </w:r>
        </w:p>
        <w:p w14:paraId="1FA7C9B9">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_Toc2204 </w:instrText>
          </w:r>
          <w:r>
            <w:rPr>
              <w:sz w:val="24"/>
              <w:szCs w:val="24"/>
            </w:rPr>
            <w:fldChar w:fldCharType="separate"/>
          </w:r>
          <w:r>
            <w:rPr>
              <w:rFonts w:hint="eastAsia" w:ascii="黑体" w:hAnsi="黑体" w:eastAsia="黑体" w:cs="黑体"/>
              <w:spacing w:val="4"/>
              <w:sz w:val="24"/>
              <w:szCs w:val="24"/>
            </w:rPr>
            <w:t>前言</w:t>
          </w:r>
          <w:r>
            <w:rPr>
              <w:sz w:val="24"/>
              <w:szCs w:val="24"/>
            </w:rPr>
            <w:tab/>
          </w:r>
          <w:r>
            <w:rPr>
              <w:sz w:val="24"/>
              <w:szCs w:val="24"/>
            </w:rPr>
            <w:fldChar w:fldCharType="begin"/>
          </w:r>
          <w:r>
            <w:rPr>
              <w:sz w:val="24"/>
              <w:szCs w:val="24"/>
            </w:rPr>
            <w:instrText xml:space="preserve"> PAGEREF _Toc2204 \h </w:instrText>
          </w:r>
          <w:r>
            <w:rPr>
              <w:sz w:val="24"/>
              <w:szCs w:val="24"/>
            </w:rPr>
            <w:fldChar w:fldCharType="separate"/>
          </w:r>
          <w:r>
            <w:rPr>
              <w:sz w:val="24"/>
              <w:szCs w:val="24"/>
            </w:rPr>
            <w:t>1</w:t>
          </w:r>
          <w:r>
            <w:rPr>
              <w:sz w:val="24"/>
              <w:szCs w:val="24"/>
            </w:rPr>
            <w:fldChar w:fldCharType="end"/>
          </w:r>
          <w:r>
            <w:rPr>
              <w:sz w:val="24"/>
              <w:szCs w:val="24"/>
            </w:rPr>
            <w:fldChar w:fldCharType="end"/>
          </w:r>
        </w:p>
        <w:p w14:paraId="635541F3">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_Toc29848 </w:instrText>
          </w:r>
          <w:r>
            <w:rPr>
              <w:sz w:val="24"/>
              <w:szCs w:val="24"/>
            </w:rPr>
            <w:fldChar w:fldCharType="separate"/>
          </w:r>
          <w:r>
            <w:rPr>
              <w:rFonts w:hint="eastAsia" w:ascii="黑体" w:hAnsi="黑体" w:eastAsia="黑体" w:cs="黑体"/>
              <w:bCs/>
              <w:spacing w:val="4"/>
              <w:sz w:val="24"/>
              <w:szCs w:val="24"/>
              <w:lang w:val="en-US" w:eastAsia="zh-CN"/>
            </w:rPr>
            <w:t>1</w:t>
          </w:r>
          <w:r>
            <w:rPr>
              <w:rFonts w:ascii="黑体" w:hAnsi="黑体" w:eastAsia="黑体" w:cs="黑体"/>
              <w:bCs/>
              <w:spacing w:val="4"/>
              <w:sz w:val="24"/>
              <w:szCs w:val="24"/>
            </w:rPr>
            <w:t>学校概况</w:t>
          </w:r>
          <w:r>
            <w:rPr>
              <w:sz w:val="24"/>
              <w:szCs w:val="24"/>
            </w:rPr>
            <w:tab/>
          </w:r>
          <w:r>
            <w:rPr>
              <w:sz w:val="24"/>
              <w:szCs w:val="24"/>
            </w:rPr>
            <w:fldChar w:fldCharType="begin"/>
          </w:r>
          <w:r>
            <w:rPr>
              <w:sz w:val="24"/>
              <w:szCs w:val="24"/>
            </w:rPr>
            <w:instrText xml:space="preserve"> PAGEREF _Toc29848 \h </w:instrText>
          </w:r>
          <w:r>
            <w:rPr>
              <w:sz w:val="24"/>
              <w:szCs w:val="24"/>
            </w:rPr>
            <w:fldChar w:fldCharType="separate"/>
          </w:r>
          <w:r>
            <w:rPr>
              <w:sz w:val="24"/>
              <w:szCs w:val="24"/>
            </w:rPr>
            <w:t>3</w:t>
          </w:r>
          <w:r>
            <w:rPr>
              <w:sz w:val="24"/>
              <w:szCs w:val="24"/>
            </w:rPr>
            <w:fldChar w:fldCharType="end"/>
          </w:r>
          <w:r>
            <w:rPr>
              <w:sz w:val="24"/>
              <w:szCs w:val="24"/>
            </w:rPr>
            <w:fldChar w:fldCharType="end"/>
          </w:r>
        </w:p>
        <w:p w14:paraId="74790231">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_Toc29851 </w:instrText>
          </w:r>
          <w:r>
            <w:rPr>
              <w:sz w:val="24"/>
              <w:szCs w:val="24"/>
            </w:rPr>
            <w:fldChar w:fldCharType="separate"/>
          </w:r>
          <w:r>
            <w:rPr>
              <w:rFonts w:hint="eastAsia" w:ascii="楷体_GB2312" w:hAnsi="楷体_GB2312" w:eastAsia="楷体_GB2312" w:cs="楷体_GB2312"/>
              <w:bCs/>
              <w:spacing w:val="5"/>
              <w:sz w:val="24"/>
              <w:szCs w:val="24"/>
              <w:lang w:val="en-US" w:eastAsia="zh-CN"/>
            </w:rPr>
            <w:t>1.1</w:t>
          </w:r>
          <w:r>
            <w:rPr>
              <w:rFonts w:hint="eastAsia" w:ascii="楷体_GB2312" w:hAnsi="楷体_GB2312" w:eastAsia="楷体_GB2312" w:cs="楷体_GB2312"/>
              <w:bCs/>
              <w:spacing w:val="5"/>
              <w:sz w:val="24"/>
              <w:szCs w:val="24"/>
            </w:rPr>
            <w:t>办学规模</w:t>
          </w:r>
          <w:r>
            <w:rPr>
              <w:sz w:val="24"/>
              <w:szCs w:val="24"/>
            </w:rPr>
            <w:tab/>
          </w:r>
          <w:r>
            <w:rPr>
              <w:sz w:val="24"/>
              <w:szCs w:val="24"/>
            </w:rPr>
            <w:fldChar w:fldCharType="begin"/>
          </w:r>
          <w:r>
            <w:rPr>
              <w:sz w:val="24"/>
              <w:szCs w:val="24"/>
            </w:rPr>
            <w:instrText xml:space="preserve"> PAGEREF _Toc29851 \h </w:instrText>
          </w:r>
          <w:r>
            <w:rPr>
              <w:sz w:val="24"/>
              <w:szCs w:val="24"/>
            </w:rPr>
            <w:fldChar w:fldCharType="separate"/>
          </w:r>
          <w:r>
            <w:rPr>
              <w:sz w:val="24"/>
              <w:szCs w:val="24"/>
            </w:rPr>
            <w:t>3</w:t>
          </w:r>
          <w:r>
            <w:rPr>
              <w:sz w:val="24"/>
              <w:szCs w:val="24"/>
            </w:rPr>
            <w:fldChar w:fldCharType="end"/>
          </w:r>
          <w:r>
            <w:rPr>
              <w:sz w:val="24"/>
              <w:szCs w:val="24"/>
            </w:rPr>
            <w:fldChar w:fldCharType="end"/>
          </w:r>
        </w:p>
        <w:p w14:paraId="2FB0988A">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_Toc6234 </w:instrText>
          </w:r>
          <w:r>
            <w:rPr>
              <w:sz w:val="24"/>
              <w:szCs w:val="24"/>
            </w:rPr>
            <w:fldChar w:fldCharType="separate"/>
          </w:r>
          <w:r>
            <w:rPr>
              <w:rFonts w:hint="eastAsia" w:ascii="楷体_GB2312" w:hAnsi="楷体_GB2312" w:eastAsia="楷体_GB2312" w:cs="楷体_GB2312"/>
              <w:bCs/>
              <w:spacing w:val="5"/>
              <w:sz w:val="24"/>
              <w:szCs w:val="24"/>
              <w:lang w:val="en-US" w:eastAsia="zh-CN"/>
            </w:rPr>
            <w:t>1.2师资队伍</w:t>
          </w:r>
          <w:r>
            <w:rPr>
              <w:sz w:val="24"/>
              <w:szCs w:val="24"/>
            </w:rPr>
            <w:tab/>
          </w:r>
          <w:r>
            <w:rPr>
              <w:sz w:val="24"/>
              <w:szCs w:val="24"/>
            </w:rPr>
            <w:fldChar w:fldCharType="begin"/>
          </w:r>
          <w:r>
            <w:rPr>
              <w:sz w:val="24"/>
              <w:szCs w:val="24"/>
            </w:rPr>
            <w:instrText xml:space="preserve"> PAGEREF _Toc6234 \h </w:instrText>
          </w:r>
          <w:r>
            <w:rPr>
              <w:sz w:val="24"/>
              <w:szCs w:val="24"/>
            </w:rPr>
            <w:fldChar w:fldCharType="separate"/>
          </w:r>
          <w:r>
            <w:rPr>
              <w:sz w:val="24"/>
              <w:szCs w:val="24"/>
            </w:rPr>
            <w:t>3</w:t>
          </w:r>
          <w:r>
            <w:rPr>
              <w:sz w:val="24"/>
              <w:szCs w:val="24"/>
            </w:rPr>
            <w:fldChar w:fldCharType="end"/>
          </w:r>
          <w:r>
            <w:rPr>
              <w:sz w:val="24"/>
              <w:szCs w:val="24"/>
            </w:rPr>
            <w:fldChar w:fldCharType="end"/>
          </w:r>
        </w:p>
        <w:p w14:paraId="52B0F838">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_Toc12983 </w:instrText>
          </w:r>
          <w:r>
            <w:rPr>
              <w:sz w:val="24"/>
              <w:szCs w:val="24"/>
            </w:rPr>
            <w:fldChar w:fldCharType="separate"/>
          </w:r>
          <w:r>
            <w:rPr>
              <w:rFonts w:hint="eastAsia" w:ascii="楷体_GB2312" w:hAnsi="楷体_GB2312" w:eastAsia="楷体_GB2312" w:cs="楷体_GB2312"/>
              <w:bCs/>
              <w:spacing w:val="5"/>
              <w:sz w:val="24"/>
              <w:szCs w:val="24"/>
              <w:lang w:val="en-US" w:eastAsia="zh-CN"/>
            </w:rPr>
            <w:t>1.3仪器设备</w:t>
          </w:r>
          <w:r>
            <w:rPr>
              <w:sz w:val="24"/>
              <w:szCs w:val="24"/>
            </w:rPr>
            <w:tab/>
          </w:r>
          <w:r>
            <w:rPr>
              <w:sz w:val="24"/>
              <w:szCs w:val="24"/>
            </w:rPr>
            <w:fldChar w:fldCharType="begin"/>
          </w:r>
          <w:r>
            <w:rPr>
              <w:sz w:val="24"/>
              <w:szCs w:val="24"/>
            </w:rPr>
            <w:instrText xml:space="preserve"> PAGEREF _Toc12983 \h </w:instrText>
          </w:r>
          <w:r>
            <w:rPr>
              <w:sz w:val="24"/>
              <w:szCs w:val="24"/>
            </w:rPr>
            <w:fldChar w:fldCharType="separate"/>
          </w:r>
          <w:r>
            <w:rPr>
              <w:sz w:val="24"/>
              <w:szCs w:val="24"/>
            </w:rPr>
            <w:t>3</w:t>
          </w:r>
          <w:r>
            <w:rPr>
              <w:sz w:val="24"/>
              <w:szCs w:val="24"/>
            </w:rPr>
            <w:fldChar w:fldCharType="end"/>
          </w:r>
          <w:r>
            <w:rPr>
              <w:sz w:val="24"/>
              <w:szCs w:val="24"/>
            </w:rPr>
            <w:fldChar w:fldCharType="end"/>
          </w:r>
        </w:p>
        <w:p w14:paraId="51599743">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_Toc16386 </w:instrText>
          </w:r>
          <w:r>
            <w:rPr>
              <w:sz w:val="24"/>
              <w:szCs w:val="24"/>
            </w:rPr>
            <w:fldChar w:fldCharType="separate"/>
          </w:r>
          <w:r>
            <w:rPr>
              <w:rFonts w:hint="eastAsia" w:ascii="楷体_GB2312" w:hAnsi="楷体_GB2312" w:eastAsia="楷体_GB2312" w:cs="楷体_GB2312"/>
              <w:bCs/>
              <w:spacing w:val="5"/>
              <w:sz w:val="24"/>
              <w:szCs w:val="24"/>
              <w:lang w:val="en-US" w:eastAsia="zh-CN"/>
            </w:rPr>
            <w:t>1.4图书配备</w:t>
          </w:r>
          <w:r>
            <w:rPr>
              <w:sz w:val="24"/>
              <w:szCs w:val="24"/>
            </w:rPr>
            <w:tab/>
          </w:r>
          <w:r>
            <w:rPr>
              <w:sz w:val="24"/>
              <w:szCs w:val="24"/>
            </w:rPr>
            <w:fldChar w:fldCharType="begin"/>
          </w:r>
          <w:r>
            <w:rPr>
              <w:sz w:val="24"/>
              <w:szCs w:val="24"/>
            </w:rPr>
            <w:instrText xml:space="preserve"> PAGEREF _Toc16386 \h </w:instrText>
          </w:r>
          <w:r>
            <w:rPr>
              <w:sz w:val="24"/>
              <w:szCs w:val="24"/>
            </w:rPr>
            <w:fldChar w:fldCharType="separate"/>
          </w:r>
          <w:r>
            <w:rPr>
              <w:sz w:val="24"/>
              <w:szCs w:val="24"/>
            </w:rPr>
            <w:t>3</w:t>
          </w:r>
          <w:r>
            <w:rPr>
              <w:sz w:val="24"/>
              <w:szCs w:val="24"/>
            </w:rPr>
            <w:fldChar w:fldCharType="end"/>
          </w:r>
          <w:r>
            <w:rPr>
              <w:sz w:val="24"/>
              <w:szCs w:val="24"/>
            </w:rPr>
            <w:fldChar w:fldCharType="end"/>
          </w:r>
        </w:p>
        <w:p w14:paraId="74B49882">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_Toc31593 </w:instrText>
          </w:r>
          <w:r>
            <w:rPr>
              <w:sz w:val="24"/>
              <w:szCs w:val="24"/>
            </w:rPr>
            <w:fldChar w:fldCharType="separate"/>
          </w:r>
          <w:r>
            <w:rPr>
              <w:rFonts w:hint="eastAsia" w:ascii="楷体_GB2312" w:hAnsi="楷体_GB2312" w:eastAsia="楷体_GB2312" w:cs="楷体_GB2312"/>
              <w:bCs/>
              <w:spacing w:val="5"/>
              <w:sz w:val="24"/>
              <w:szCs w:val="24"/>
              <w:lang w:val="en-US" w:eastAsia="zh-CN"/>
            </w:rPr>
            <w:t>1.5信息化水平</w:t>
          </w:r>
          <w:r>
            <w:rPr>
              <w:sz w:val="24"/>
              <w:szCs w:val="24"/>
            </w:rPr>
            <w:tab/>
          </w:r>
          <w:r>
            <w:rPr>
              <w:sz w:val="24"/>
              <w:szCs w:val="24"/>
            </w:rPr>
            <w:fldChar w:fldCharType="begin"/>
          </w:r>
          <w:r>
            <w:rPr>
              <w:sz w:val="24"/>
              <w:szCs w:val="24"/>
            </w:rPr>
            <w:instrText xml:space="preserve"> PAGEREF _Toc31593 \h </w:instrText>
          </w:r>
          <w:r>
            <w:rPr>
              <w:sz w:val="24"/>
              <w:szCs w:val="24"/>
            </w:rPr>
            <w:fldChar w:fldCharType="separate"/>
          </w:r>
          <w:r>
            <w:rPr>
              <w:sz w:val="24"/>
              <w:szCs w:val="24"/>
            </w:rPr>
            <w:t>3</w:t>
          </w:r>
          <w:r>
            <w:rPr>
              <w:sz w:val="24"/>
              <w:szCs w:val="24"/>
            </w:rPr>
            <w:fldChar w:fldCharType="end"/>
          </w:r>
          <w:r>
            <w:rPr>
              <w:sz w:val="24"/>
              <w:szCs w:val="24"/>
            </w:rPr>
            <w:fldChar w:fldCharType="end"/>
          </w:r>
        </w:p>
        <w:p w14:paraId="670FBE89">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_Toc15210 </w:instrText>
          </w:r>
          <w:r>
            <w:rPr>
              <w:sz w:val="24"/>
              <w:szCs w:val="24"/>
            </w:rPr>
            <w:fldChar w:fldCharType="separate"/>
          </w:r>
          <w:r>
            <w:rPr>
              <w:rFonts w:hint="eastAsia" w:ascii="楷体_GB2312" w:hAnsi="楷体_GB2312" w:eastAsia="楷体_GB2312" w:cs="楷体_GB2312"/>
              <w:bCs/>
              <w:spacing w:val="5"/>
              <w:sz w:val="24"/>
              <w:szCs w:val="24"/>
              <w:lang w:val="en-US" w:eastAsia="zh-CN"/>
            </w:rPr>
            <w:t>1.6实习实训基地</w:t>
          </w:r>
          <w:r>
            <w:rPr>
              <w:sz w:val="24"/>
              <w:szCs w:val="24"/>
            </w:rPr>
            <w:tab/>
          </w:r>
          <w:r>
            <w:rPr>
              <w:sz w:val="24"/>
              <w:szCs w:val="24"/>
            </w:rPr>
            <w:fldChar w:fldCharType="begin"/>
          </w:r>
          <w:r>
            <w:rPr>
              <w:sz w:val="24"/>
              <w:szCs w:val="24"/>
            </w:rPr>
            <w:instrText xml:space="preserve"> PAGEREF _Toc15210 \h </w:instrText>
          </w:r>
          <w:r>
            <w:rPr>
              <w:sz w:val="24"/>
              <w:szCs w:val="24"/>
            </w:rPr>
            <w:fldChar w:fldCharType="separate"/>
          </w:r>
          <w:r>
            <w:rPr>
              <w:sz w:val="24"/>
              <w:szCs w:val="24"/>
            </w:rPr>
            <w:t>4</w:t>
          </w:r>
          <w:r>
            <w:rPr>
              <w:sz w:val="24"/>
              <w:szCs w:val="24"/>
            </w:rPr>
            <w:fldChar w:fldCharType="end"/>
          </w:r>
          <w:r>
            <w:rPr>
              <w:sz w:val="24"/>
              <w:szCs w:val="24"/>
            </w:rPr>
            <w:fldChar w:fldCharType="end"/>
          </w:r>
        </w:p>
        <w:p w14:paraId="03ED4466">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_Toc22419 </w:instrText>
          </w:r>
          <w:r>
            <w:rPr>
              <w:sz w:val="24"/>
              <w:szCs w:val="24"/>
            </w:rPr>
            <w:fldChar w:fldCharType="separate"/>
          </w:r>
          <w:r>
            <w:rPr>
              <w:rFonts w:hint="eastAsia" w:ascii="黑体" w:hAnsi="黑体" w:eastAsia="黑体" w:cs="黑体"/>
              <w:bCs/>
              <w:spacing w:val="4"/>
              <w:sz w:val="24"/>
              <w:szCs w:val="24"/>
              <w:lang w:val="en-US" w:eastAsia="zh-CN"/>
            </w:rPr>
            <w:t>2人才培养</w:t>
          </w:r>
          <w:r>
            <w:rPr>
              <w:sz w:val="24"/>
              <w:szCs w:val="24"/>
            </w:rPr>
            <w:tab/>
          </w:r>
          <w:r>
            <w:rPr>
              <w:sz w:val="24"/>
              <w:szCs w:val="24"/>
            </w:rPr>
            <w:fldChar w:fldCharType="begin"/>
          </w:r>
          <w:r>
            <w:rPr>
              <w:sz w:val="24"/>
              <w:szCs w:val="24"/>
            </w:rPr>
            <w:instrText xml:space="preserve"> PAGEREF _Toc22419 \h </w:instrText>
          </w:r>
          <w:r>
            <w:rPr>
              <w:sz w:val="24"/>
              <w:szCs w:val="24"/>
            </w:rPr>
            <w:fldChar w:fldCharType="separate"/>
          </w:r>
          <w:r>
            <w:rPr>
              <w:sz w:val="24"/>
              <w:szCs w:val="24"/>
            </w:rPr>
            <w:t>4</w:t>
          </w:r>
          <w:r>
            <w:rPr>
              <w:sz w:val="24"/>
              <w:szCs w:val="24"/>
            </w:rPr>
            <w:fldChar w:fldCharType="end"/>
          </w:r>
          <w:r>
            <w:rPr>
              <w:sz w:val="24"/>
              <w:szCs w:val="24"/>
            </w:rPr>
            <w:fldChar w:fldCharType="end"/>
          </w:r>
        </w:p>
        <w:p w14:paraId="7204532C">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_Toc23032 </w:instrText>
          </w:r>
          <w:r>
            <w:rPr>
              <w:sz w:val="24"/>
              <w:szCs w:val="24"/>
            </w:rPr>
            <w:fldChar w:fldCharType="separate"/>
          </w:r>
          <w:r>
            <w:rPr>
              <w:rFonts w:hint="eastAsia" w:ascii="楷体_GB2312" w:hAnsi="楷体_GB2312" w:eastAsia="楷体_GB2312" w:cs="楷体_GB2312"/>
              <w:bCs/>
              <w:spacing w:val="5"/>
              <w:sz w:val="24"/>
              <w:szCs w:val="24"/>
              <w:lang w:val="en-US" w:eastAsia="zh-CN"/>
            </w:rPr>
            <w:t>2.1党建引领</w:t>
          </w:r>
          <w:r>
            <w:rPr>
              <w:sz w:val="24"/>
              <w:szCs w:val="24"/>
            </w:rPr>
            <w:tab/>
          </w:r>
          <w:r>
            <w:rPr>
              <w:sz w:val="24"/>
              <w:szCs w:val="24"/>
            </w:rPr>
            <w:fldChar w:fldCharType="begin"/>
          </w:r>
          <w:r>
            <w:rPr>
              <w:sz w:val="24"/>
              <w:szCs w:val="24"/>
            </w:rPr>
            <w:instrText xml:space="preserve"> PAGEREF _Toc23032 \h </w:instrText>
          </w:r>
          <w:r>
            <w:rPr>
              <w:sz w:val="24"/>
              <w:szCs w:val="24"/>
            </w:rPr>
            <w:fldChar w:fldCharType="separate"/>
          </w:r>
          <w:r>
            <w:rPr>
              <w:sz w:val="24"/>
              <w:szCs w:val="24"/>
            </w:rPr>
            <w:t>4</w:t>
          </w:r>
          <w:r>
            <w:rPr>
              <w:sz w:val="24"/>
              <w:szCs w:val="24"/>
            </w:rPr>
            <w:fldChar w:fldCharType="end"/>
          </w:r>
          <w:r>
            <w:rPr>
              <w:sz w:val="24"/>
              <w:szCs w:val="24"/>
            </w:rPr>
            <w:fldChar w:fldCharType="end"/>
          </w:r>
        </w:p>
        <w:p w14:paraId="416AF15C">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_Toc21943 </w:instrText>
          </w:r>
          <w:r>
            <w:rPr>
              <w:sz w:val="24"/>
              <w:szCs w:val="24"/>
            </w:rPr>
            <w:fldChar w:fldCharType="separate"/>
          </w:r>
          <w:r>
            <w:rPr>
              <w:rFonts w:hint="eastAsia" w:ascii="楷体_GB2312" w:hAnsi="楷体_GB2312" w:eastAsia="楷体_GB2312" w:cs="楷体_GB2312"/>
              <w:bCs/>
              <w:spacing w:val="5"/>
              <w:sz w:val="24"/>
              <w:szCs w:val="24"/>
              <w:lang w:val="en-US" w:eastAsia="zh-CN"/>
            </w:rPr>
            <w:t>2.2办学理念</w:t>
          </w:r>
          <w:r>
            <w:rPr>
              <w:sz w:val="24"/>
              <w:szCs w:val="24"/>
            </w:rPr>
            <w:tab/>
          </w:r>
          <w:r>
            <w:rPr>
              <w:sz w:val="24"/>
              <w:szCs w:val="24"/>
            </w:rPr>
            <w:fldChar w:fldCharType="begin"/>
          </w:r>
          <w:r>
            <w:rPr>
              <w:sz w:val="24"/>
              <w:szCs w:val="24"/>
            </w:rPr>
            <w:instrText xml:space="preserve"> PAGEREF _Toc21943 \h </w:instrText>
          </w:r>
          <w:r>
            <w:rPr>
              <w:sz w:val="24"/>
              <w:szCs w:val="24"/>
            </w:rPr>
            <w:fldChar w:fldCharType="separate"/>
          </w:r>
          <w:r>
            <w:rPr>
              <w:sz w:val="24"/>
              <w:szCs w:val="24"/>
            </w:rPr>
            <w:t>10</w:t>
          </w:r>
          <w:r>
            <w:rPr>
              <w:sz w:val="24"/>
              <w:szCs w:val="24"/>
            </w:rPr>
            <w:fldChar w:fldCharType="end"/>
          </w:r>
          <w:r>
            <w:rPr>
              <w:sz w:val="24"/>
              <w:szCs w:val="24"/>
            </w:rPr>
            <w:fldChar w:fldCharType="end"/>
          </w:r>
        </w:p>
        <w:p w14:paraId="56116E92">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_Toc9118 </w:instrText>
          </w:r>
          <w:r>
            <w:rPr>
              <w:sz w:val="24"/>
              <w:szCs w:val="24"/>
            </w:rPr>
            <w:fldChar w:fldCharType="separate"/>
          </w:r>
          <w:r>
            <w:rPr>
              <w:rFonts w:hint="eastAsia" w:ascii="楷体_GB2312" w:hAnsi="楷体_GB2312" w:eastAsia="楷体_GB2312" w:cs="楷体_GB2312"/>
              <w:bCs/>
              <w:spacing w:val="5"/>
              <w:sz w:val="24"/>
              <w:szCs w:val="24"/>
              <w:lang w:val="en-US" w:eastAsia="zh-CN"/>
            </w:rPr>
            <w:t>2.3立德树人</w:t>
          </w:r>
          <w:r>
            <w:rPr>
              <w:sz w:val="24"/>
              <w:szCs w:val="24"/>
            </w:rPr>
            <w:tab/>
          </w:r>
          <w:r>
            <w:rPr>
              <w:sz w:val="24"/>
              <w:szCs w:val="24"/>
            </w:rPr>
            <w:fldChar w:fldCharType="begin"/>
          </w:r>
          <w:r>
            <w:rPr>
              <w:sz w:val="24"/>
              <w:szCs w:val="24"/>
            </w:rPr>
            <w:instrText xml:space="preserve"> PAGEREF _Toc9118 \h </w:instrText>
          </w:r>
          <w:r>
            <w:rPr>
              <w:sz w:val="24"/>
              <w:szCs w:val="24"/>
            </w:rPr>
            <w:fldChar w:fldCharType="separate"/>
          </w:r>
          <w:r>
            <w:rPr>
              <w:sz w:val="24"/>
              <w:szCs w:val="24"/>
            </w:rPr>
            <w:t>11</w:t>
          </w:r>
          <w:r>
            <w:rPr>
              <w:sz w:val="24"/>
              <w:szCs w:val="24"/>
            </w:rPr>
            <w:fldChar w:fldCharType="end"/>
          </w:r>
          <w:r>
            <w:rPr>
              <w:sz w:val="24"/>
              <w:szCs w:val="24"/>
            </w:rPr>
            <w:fldChar w:fldCharType="end"/>
          </w:r>
        </w:p>
        <w:p w14:paraId="7ABB9D76">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_Toc12316 </w:instrText>
          </w:r>
          <w:r>
            <w:rPr>
              <w:sz w:val="24"/>
              <w:szCs w:val="24"/>
            </w:rPr>
            <w:fldChar w:fldCharType="separate"/>
          </w:r>
          <w:r>
            <w:rPr>
              <w:rFonts w:hint="eastAsia" w:ascii="楷体_GB2312" w:hAnsi="楷体_GB2312" w:eastAsia="楷体_GB2312" w:cs="楷体_GB2312"/>
              <w:bCs/>
              <w:spacing w:val="5"/>
              <w:sz w:val="24"/>
              <w:szCs w:val="24"/>
              <w:lang w:val="en-US" w:eastAsia="zh-CN"/>
            </w:rPr>
            <w:t>2.4铸魂启智</w:t>
          </w:r>
          <w:r>
            <w:rPr>
              <w:sz w:val="24"/>
              <w:szCs w:val="24"/>
            </w:rPr>
            <w:tab/>
          </w:r>
          <w:r>
            <w:rPr>
              <w:sz w:val="24"/>
              <w:szCs w:val="24"/>
            </w:rPr>
            <w:fldChar w:fldCharType="begin"/>
          </w:r>
          <w:r>
            <w:rPr>
              <w:sz w:val="24"/>
              <w:szCs w:val="24"/>
            </w:rPr>
            <w:instrText xml:space="preserve"> PAGEREF _Toc12316 \h </w:instrText>
          </w:r>
          <w:r>
            <w:rPr>
              <w:sz w:val="24"/>
              <w:szCs w:val="24"/>
            </w:rPr>
            <w:fldChar w:fldCharType="separate"/>
          </w:r>
          <w:r>
            <w:rPr>
              <w:sz w:val="24"/>
              <w:szCs w:val="24"/>
            </w:rPr>
            <w:t>15</w:t>
          </w:r>
          <w:r>
            <w:rPr>
              <w:sz w:val="24"/>
              <w:szCs w:val="24"/>
            </w:rPr>
            <w:fldChar w:fldCharType="end"/>
          </w:r>
          <w:r>
            <w:rPr>
              <w:sz w:val="24"/>
              <w:szCs w:val="24"/>
            </w:rPr>
            <w:fldChar w:fldCharType="end"/>
          </w:r>
        </w:p>
        <w:p w14:paraId="43A9E6BB">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_Toc19047 </w:instrText>
          </w:r>
          <w:r>
            <w:rPr>
              <w:sz w:val="24"/>
              <w:szCs w:val="24"/>
            </w:rPr>
            <w:fldChar w:fldCharType="separate"/>
          </w:r>
          <w:r>
            <w:rPr>
              <w:rFonts w:hint="eastAsia" w:ascii="楷体_GB2312" w:hAnsi="楷体_GB2312" w:eastAsia="楷体_GB2312" w:cs="楷体_GB2312"/>
              <w:bCs/>
              <w:spacing w:val="5"/>
              <w:sz w:val="24"/>
              <w:szCs w:val="24"/>
              <w:lang w:val="en-US" w:eastAsia="zh-CN"/>
            </w:rPr>
            <w:t>2.5在校体验</w:t>
          </w:r>
          <w:r>
            <w:rPr>
              <w:sz w:val="24"/>
              <w:szCs w:val="24"/>
            </w:rPr>
            <w:tab/>
          </w:r>
          <w:r>
            <w:rPr>
              <w:sz w:val="24"/>
              <w:szCs w:val="24"/>
            </w:rPr>
            <w:fldChar w:fldCharType="begin"/>
          </w:r>
          <w:r>
            <w:rPr>
              <w:sz w:val="24"/>
              <w:szCs w:val="24"/>
            </w:rPr>
            <w:instrText xml:space="preserve"> PAGEREF _Toc19047 \h </w:instrText>
          </w:r>
          <w:r>
            <w:rPr>
              <w:sz w:val="24"/>
              <w:szCs w:val="24"/>
            </w:rPr>
            <w:fldChar w:fldCharType="separate"/>
          </w:r>
          <w:r>
            <w:rPr>
              <w:sz w:val="24"/>
              <w:szCs w:val="24"/>
            </w:rPr>
            <w:t>17</w:t>
          </w:r>
          <w:r>
            <w:rPr>
              <w:sz w:val="24"/>
              <w:szCs w:val="24"/>
            </w:rPr>
            <w:fldChar w:fldCharType="end"/>
          </w:r>
          <w:r>
            <w:rPr>
              <w:sz w:val="24"/>
              <w:szCs w:val="24"/>
            </w:rPr>
            <w:fldChar w:fldCharType="end"/>
          </w:r>
        </w:p>
        <w:p w14:paraId="7A7AC11E">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_Toc13469 </w:instrText>
          </w:r>
          <w:r>
            <w:rPr>
              <w:sz w:val="24"/>
              <w:szCs w:val="24"/>
            </w:rPr>
            <w:fldChar w:fldCharType="separate"/>
          </w:r>
          <w:r>
            <w:rPr>
              <w:rFonts w:hint="eastAsia" w:ascii="楷体_GB2312" w:hAnsi="楷体_GB2312" w:eastAsia="楷体_GB2312" w:cs="楷体_GB2312"/>
              <w:bCs/>
              <w:spacing w:val="5"/>
              <w:sz w:val="24"/>
              <w:szCs w:val="24"/>
              <w:lang w:val="en-US" w:eastAsia="zh-CN"/>
            </w:rPr>
            <w:t>2.6领导班子</w:t>
          </w:r>
          <w:r>
            <w:rPr>
              <w:sz w:val="24"/>
              <w:szCs w:val="24"/>
            </w:rPr>
            <w:tab/>
          </w:r>
          <w:r>
            <w:rPr>
              <w:sz w:val="24"/>
              <w:szCs w:val="24"/>
            </w:rPr>
            <w:fldChar w:fldCharType="begin"/>
          </w:r>
          <w:r>
            <w:rPr>
              <w:sz w:val="24"/>
              <w:szCs w:val="24"/>
            </w:rPr>
            <w:instrText xml:space="preserve"> PAGEREF _Toc13469 \h </w:instrText>
          </w:r>
          <w:r>
            <w:rPr>
              <w:sz w:val="24"/>
              <w:szCs w:val="24"/>
            </w:rPr>
            <w:fldChar w:fldCharType="separate"/>
          </w:r>
          <w:r>
            <w:rPr>
              <w:sz w:val="24"/>
              <w:szCs w:val="24"/>
            </w:rPr>
            <w:t>21</w:t>
          </w:r>
          <w:r>
            <w:rPr>
              <w:sz w:val="24"/>
              <w:szCs w:val="24"/>
            </w:rPr>
            <w:fldChar w:fldCharType="end"/>
          </w:r>
          <w:r>
            <w:rPr>
              <w:sz w:val="24"/>
              <w:szCs w:val="24"/>
            </w:rPr>
            <w:fldChar w:fldCharType="end"/>
          </w:r>
        </w:p>
        <w:p w14:paraId="7C4C23F3">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_Toc11219 </w:instrText>
          </w:r>
          <w:r>
            <w:rPr>
              <w:sz w:val="24"/>
              <w:szCs w:val="24"/>
            </w:rPr>
            <w:fldChar w:fldCharType="separate"/>
          </w:r>
          <w:r>
            <w:rPr>
              <w:rFonts w:hint="eastAsia" w:ascii="楷体_GB2312" w:hAnsi="楷体_GB2312" w:eastAsia="楷体_GB2312" w:cs="楷体_GB2312"/>
              <w:bCs/>
              <w:spacing w:val="5"/>
              <w:sz w:val="24"/>
              <w:szCs w:val="24"/>
              <w:lang w:val="en-US" w:eastAsia="zh-CN"/>
            </w:rPr>
            <w:t>2.7学校管理</w:t>
          </w:r>
          <w:r>
            <w:rPr>
              <w:sz w:val="24"/>
              <w:szCs w:val="24"/>
            </w:rPr>
            <w:tab/>
          </w:r>
          <w:r>
            <w:rPr>
              <w:sz w:val="24"/>
              <w:szCs w:val="24"/>
            </w:rPr>
            <w:fldChar w:fldCharType="begin"/>
          </w:r>
          <w:r>
            <w:rPr>
              <w:sz w:val="24"/>
              <w:szCs w:val="24"/>
            </w:rPr>
            <w:instrText xml:space="preserve"> PAGEREF _Toc11219 \h </w:instrText>
          </w:r>
          <w:r>
            <w:rPr>
              <w:sz w:val="24"/>
              <w:szCs w:val="24"/>
            </w:rPr>
            <w:fldChar w:fldCharType="separate"/>
          </w:r>
          <w:r>
            <w:rPr>
              <w:sz w:val="24"/>
              <w:szCs w:val="24"/>
            </w:rPr>
            <w:t>21</w:t>
          </w:r>
          <w:r>
            <w:rPr>
              <w:sz w:val="24"/>
              <w:szCs w:val="24"/>
            </w:rPr>
            <w:fldChar w:fldCharType="end"/>
          </w:r>
          <w:r>
            <w:rPr>
              <w:sz w:val="24"/>
              <w:szCs w:val="24"/>
            </w:rPr>
            <w:fldChar w:fldCharType="end"/>
          </w:r>
        </w:p>
        <w:p w14:paraId="6A3DBFCD">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_Toc13457 </w:instrText>
          </w:r>
          <w:r>
            <w:rPr>
              <w:sz w:val="24"/>
              <w:szCs w:val="24"/>
            </w:rPr>
            <w:fldChar w:fldCharType="separate"/>
          </w:r>
          <w:r>
            <w:rPr>
              <w:rFonts w:hint="eastAsia" w:ascii="黑体" w:hAnsi="黑体" w:eastAsia="黑体" w:cs="黑体"/>
              <w:bCs/>
              <w:spacing w:val="4"/>
              <w:sz w:val="24"/>
              <w:szCs w:val="24"/>
              <w:lang w:val="en-US" w:eastAsia="zh-CN"/>
            </w:rPr>
            <w:t>3服务贡献</w:t>
          </w:r>
          <w:r>
            <w:rPr>
              <w:sz w:val="24"/>
              <w:szCs w:val="24"/>
            </w:rPr>
            <w:tab/>
          </w:r>
          <w:r>
            <w:rPr>
              <w:sz w:val="24"/>
              <w:szCs w:val="24"/>
            </w:rPr>
            <w:fldChar w:fldCharType="begin"/>
          </w:r>
          <w:r>
            <w:rPr>
              <w:sz w:val="24"/>
              <w:szCs w:val="24"/>
            </w:rPr>
            <w:instrText xml:space="preserve"> PAGEREF _Toc13457 \h </w:instrText>
          </w:r>
          <w:r>
            <w:rPr>
              <w:sz w:val="24"/>
              <w:szCs w:val="24"/>
            </w:rPr>
            <w:fldChar w:fldCharType="separate"/>
          </w:r>
          <w:r>
            <w:rPr>
              <w:sz w:val="24"/>
              <w:szCs w:val="24"/>
            </w:rPr>
            <w:t>22</w:t>
          </w:r>
          <w:r>
            <w:rPr>
              <w:sz w:val="24"/>
              <w:szCs w:val="24"/>
            </w:rPr>
            <w:fldChar w:fldCharType="end"/>
          </w:r>
          <w:r>
            <w:rPr>
              <w:sz w:val="24"/>
              <w:szCs w:val="24"/>
            </w:rPr>
            <w:fldChar w:fldCharType="end"/>
          </w:r>
        </w:p>
        <w:p w14:paraId="3DEF061B">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_Toc24938 </w:instrText>
          </w:r>
          <w:r>
            <w:rPr>
              <w:sz w:val="24"/>
              <w:szCs w:val="24"/>
            </w:rPr>
            <w:fldChar w:fldCharType="separate"/>
          </w:r>
          <w:r>
            <w:rPr>
              <w:rFonts w:hint="eastAsia" w:ascii="楷体_GB2312" w:hAnsi="楷体_GB2312" w:eastAsia="楷体_GB2312" w:cs="楷体_GB2312"/>
              <w:bCs/>
              <w:spacing w:val="5"/>
              <w:sz w:val="24"/>
              <w:szCs w:val="24"/>
              <w:lang w:val="en-US" w:eastAsia="zh-CN"/>
            </w:rPr>
            <w:t>3.1就业质量</w:t>
          </w:r>
          <w:r>
            <w:rPr>
              <w:sz w:val="24"/>
              <w:szCs w:val="24"/>
            </w:rPr>
            <w:tab/>
          </w:r>
          <w:r>
            <w:rPr>
              <w:sz w:val="24"/>
              <w:szCs w:val="24"/>
            </w:rPr>
            <w:fldChar w:fldCharType="begin"/>
          </w:r>
          <w:r>
            <w:rPr>
              <w:sz w:val="24"/>
              <w:szCs w:val="24"/>
            </w:rPr>
            <w:instrText xml:space="preserve"> PAGEREF _Toc24938 \h </w:instrText>
          </w:r>
          <w:r>
            <w:rPr>
              <w:sz w:val="24"/>
              <w:szCs w:val="24"/>
            </w:rPr>
            <w:fldChar w:fldCharType="separate"/>
          </w:r>
          <w:r>
            <w:rPr>
              <w:sz w:val="24"/>
              <w:szCs w:val="24"/>
            </w:rPr>
            <w:t>22</w:t>
          </w:r>
          <w:r>
            <w:rPr>
              <w:sz w:val="24"/>
              <w:szCs w:val="24"/>
            </w:rPr>
            <w:fldChar w:fldCharType="end"/>
          </w:r>
          <w:r>
            <w:rPr>
              <w:sz w:val="24"/>
              <w:szCs w:val="24"/>
            </w:rPr>
            <w:fldChar w:fldCharType="end"/>
          </w:r>
        </w:p>
        <w:p w14:paraId="50B8C672">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_Toc3368 </w:instrText>
          </w:r>
          <w:r>
            <w:rPr>
              <w:sz w:val="24"/>
              <w:szCs w:val="24"/>
            </w:rPr>
            <w:fldChar w:fldCharType="separate"/>
          </w:r>
          <w:r>
            <w:rPr>
              <w:rFonts w:hint="eastAsia" w:ascii="楷体_GB2312" w:hAnsi="楷体_GB2312" w:eastAsia="楷体_GB2312" w:cs="楷体_GB2312"/>
              <w:bCs/>
              <w:spacing w:val="5"/>
              <w:sz w:val="24"/>
              <w:szCs w:val="24"/>
              <w:lang w:val="en-US" w:eastAsia="zh-CN"/>
            </w:rPr>
            <w:t>3.2服务区域经济发展</w:t>
          </w:r>
          <w:r>
            <w:rPr>
              <w:sz w:val="24"/>
              <w:szCs w:val="24"/>
            </w:rPr>
            <w:tab/>
          </w:r>
          <w:r>
            <w:rPr>
              <w:sz w:val="24"/>
              <w:szCs w:val="24"/>
            </w:rPr>
            <w:fldChar w:fldCharType="begin"/>
          </w:r>
          <w:r>
            <w:rPr>
              <w:sz w:val="24"/>
              <w:szCs w:val="24"/>
            </w:rPr>
            <w:instrText xml:space="preserve"> PAGEREF _Toc3368 \h </w:instrText>
          </w:r>
          <w:r>
            <w:rPr>
              <w:sz w:val="24"/>
              <w:szCs w:val="24"/>
            </w:rPr>
            <w:fldChar w:fldCharType="separate"/>
          </w:r>
          <w:r>
            <w:rPr>
              <w:sz w:val="24"/>
              <w:szCs w:val="24"/>
            </w:rPr>
            <w:t>23</w:t>
          </w:r>
          <w:r>
            <w:rPr>
              <w:sz w:val="24"/>
              <w:szCs w:val="24"/>
            </w:rPr>
            <w:fldChar w:fldCharType="end"/>
          </w:r>
          <w:r>
            <w:rPr>
              <w:sz w:val="24"/>
              <w:szCs w:val="24"/>
            </w:rPr>
            <w:fldChar w:fldCharType="end"/>
          </w:r>
        </w:p>
        <w:p w14:paraId="29BD97FC">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_Toc21160 </w:instrText>
          </w:r>
          <w:r>
            <w:rPr>
              <w:sz w:val="24"/>
              <w:szCs w:val="24"/>
            </w:rPr>
            <w:fldChar w:fldCharType="separate"/>
          </w:r>
          <w:r>
            <w:rPr>
              <w:rFonts w:hint="eastAsia" w:ascii="楷体_GB2312" w:hAnsi="楷体_GB2312" w:eastAsia="楷体_GB2312" w:cs="楷体_GB2312"/>
              <w:bCs/>
              <w:spacing w:val="5"/>
              <w:sz w:val="24"/>
              <w:szCs w:val="24"/>
              <w:lang w:val="en-US" w:eastAsia="zh-CN"/>
            </w:rPr>
            <w:t>3.3服务乡村振兴</w:t>
          </w:r>
          <w:r>
            <w:rPr>
              <w:sz w:val="24"/>
              <w:szCs w:val="24"/>
            </w:rPr>
            <w:tab/>
          </w:r>
          <w:r>
            <w:rPr>
              <w:sz w:val="24"/>
              <w:szCs w:val="24"/>
            </w:rPr>
            <w:fldChar w:fldCharType="begin"/>
          </w:r>
          <w:r>
            <w:rPr>
              <w:sz w:val="24"/>
              <w:szCs w:val="24"/>
            </w:rPr>
            <w:instrText xml:space="preserve"> PAGEREF _Toc21160 \h </w:instrText>
          </w:r>
          <w:r>
            <w:rPr>
              <w:sz w:val="24"/>
              <w:szCs w:val="24"/>
            </w:rPr>
            <w:fldChar w:fldCharType="separate"/>
          </w:r>
          <w:r>
            <w:rPr>
              <w:sz w:val="24"/>
              <w:szCs w:val="24"/>
            </w:rPr>
            <w:t>23</w:t>
          </w:r>
          <w:r>
            <w:rPr>
              <w:sz w:val="24"/>
              <w:szCs w:val="24"/>
            </w:rPr>
            <w:fldChar w:fldCharType="end"/>
          </w:r>
          <w:r>
            <w:rPr>
              <w:sz w:val="24"/>
              <w:szCs w:val="24"/>
            </w:rPr>
            <w:fldChar w:fldCharType="end"/>
          </w:r>
        </w:p>
        <w:p w14:paraId="43ED08AB">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_Toc6053 </w:instrText>
          </w:r>
          <w:r>
            <w:rPr>
              <w:sz w:val="24"/>
              <w:szCs w:val="24"/>
            </w:rPr>
            <w:fldChar w:fldCharType="separate"/>
          </w:r>
          <w:r>
            <w:rPr>
              <w:rFonts w:hint="eastAsia" w:ascii="楷体_GB2312" w:hAnsi="楷体_GB2312" w:eastAsia="楷体_GB2312" w:cs="楷体_GB2312"/>
              <w:bCs/>
              <w:spacing w:val="5"/>
              <w:sz w:val="24"/>
              <w:szCs w:val="24"/>
              <w:lang w:val="en-US" w:eastAsia="zh-CN"/>
            </w:rPr>
            <w:t>3.4助力家庭困难</w:t>
          </w:r>
          <w:r>
            <w:rPr>
              <w:sz w:val="24"/>
              <w:szCs w:val="24"/>
            </w:rPr>
            <w:tab/>
          </w:r>
          <w:r>
            <w:rPr>
              <w:sz w:val="24"/>
              <w:szCs w:val="24"/>
            </w:rPr>
            <w:fldChar w:fldCharType="begin"/>
          </w:r>
          <w:r>
            <w:rPr>
              <w:sz w:val="24"/>
              <w:szCs w:val="24"/>
            </w:rPr>
            <w:instrText xml:space="preserve"> PAGEREF _Toc6053 \h </w:instrText>
          </w:r>
          <w:r>
            <w:rPr>
              <w:sz w:val="24"/>
              <w:szCs w:val="24"/>
            </w:rPr>
            <w:fldChar w:fldCharType="separate"/>
          </w:r>
          <w:r>
            <w:rPr>
              <w:sz w:val="24"/>
              <w:szCs w:val="24"/>
            </w:rPr>
            <w:t>27</w:t>
          </w:r>
          <w:r>
            <w:rPr>
              <w:sz w:val="24"/>
              <w:szCs w:val="24"/>
            </w:rPr>
            <w:fldChar w:fldCharType="end"/>
          </w:r>
          <w:r>
            <w:rPr>
              <w:sz w:val="24"/>
              <w:szCs w:val="24"/>
            </w:rPr>
            <w:fldChar w:fldCharType="end"/>
          </w:r>
        </w:p>
        <w:p w14:paraId="373B1E7B">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_Toc16378 </w:instrText>
          </w:r>
          <w:r>
            <w:rPr>
              <w:sz w:val="24"/>
              <w:szCs w:val="24"/>
            </w:rPr>
            <w:fldChar w:fldCharType="separate"/>
          </w:r>
          <w:r>
            <w:rPr>
              <w:rFonts w:hint="eastAsia" w:ascii="黑体" w:hAnsi="黑体" w:eastAsia="黑体" w:cs="黑体"/>
              <w:bCs/>
              <w:spacing w:val="4"/>
              <w:sz w:val="24"/>
              <w:szCs w:val="24"/>
              <w:lang w:val="en-US" w:eastAsia="zh-CN"/>
            </w:rPr>
            <w:t>4文化传承</w:t>
          </w:r>
          <w:r>
            <w:rPr>
              <w:sz w:val="24"/>
              <w:szCs w:val="24"/>
            </w:rPr>
            <w:tab/>
          </w:r>
          <w:r>
            <w:rPr>
              <w:sz w:val="24"/>
              <w:szCs w:val="24"/>
            </w:rPr>
            <w:fldChar w:fldCharType="begin"/>
          </w:r>
          <w:r>
            <w:rPr>
              <w:sz w:val="24"/>
              <w:szCs w:val="24"/>
            </w:rPr>
            <w:instrText xml:space="preserve"> PAGEREF _Toc16378 \h </w:instrText>
          </w:r>
          <w:r>
            <w:rPr>
              <w:sz w:val="24"/>
              <w:szCs w:val="24"/>
            </w:rPr>
            <w:fldChar w:fldCharType="separate"/>
          </w:r>
          <w:r>
            <w:rPr>
              <w:sz w:val="24"/>
              <w:szCs w:val="24"/>
            </w:rPr>
            <w:t>27</w:t>
          </w:r>
          <w:r>
            <w:rPr>
              <w:sz w:val="24"/>
              <w:szCs w:val="24"/>
            </w:rPr>
            <w:fldChar w:fldCharType="end"/>
          </w:r>
          <w:r>
            <w:rPr>
              <w:sz w:val="24"/>
              <w:szCs w:val="24"/>
            </w:rPr>
            <w:fldChar w:fldCharType="end"/>
          </w:r>
        </w:p>
        <w:p w14:paraId="56451332">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_Toc2401 </w:instrText>
          </w:r>
          <w:r>
            <w:rPr>
              <w:sz w:val="24"/>
              <w:szCs w:val="24"/>
            </w:rPr>
            <w:fldChar w:fldCharType="separate"/>
          </w:r>
          <w:r>
            <w:rPr>
              <w:rFonts w:hint="eastAsia" w:ascii="楷体_GB2312" w:hAnsi="楷体_GB2312" w:eastAsia="楷体_GB2312" w:cs="楷体_GB2312"/>
              <w:bCs/>
              <w:spacing w:val="5"/>
              <w:sz w:val="24"/>
              <w:szCs w:val="24"/>
              <w:lang w:val="en-US" w:eastAsia="zh-CN"/>
            </w:rPr>
            <w:t>4.1优秀传统文化教育</w:t>
          </w:r>
          <w:r>
            <w:rPr>
              <w:sz w:val="24"/>
              <w:szCs w:val="24"/>
            </w:rPr>
            <w:tab/>
          </w:r>
          <w:r>
            <w:rPr>
              <w:sz w:val="24"/>
              <w:szCs w:val="24"/>
            </w:rPr>
            <w:fldChar w:fldCharType="begin"/>
          </w:r>
          <w:r>
            <w:rPr>
              <w:sz w:val="24"/>
              <w:szCs w:val="24"/>
            </w:rPr>
            <w:instrText xml:space="preserve"> PAGEREF _Toc2401 \h </w:instrText>
          </w:r>
          <w:r>
            <w:rPr>
              <w:sz w:val="24"/>
              <w:szCs w:val="24"/>
            </w:rPr>
            <w:fldChar w:fldCharType="separate"/>
          </w:r>
          <w:r>
            <w:rPr>
              <w:sz w:val="24"/>
              <w:szCs w:val="24"/>
            </w:rPr>
            <w:t>27</w:t>
          </w:r>
          <w:r>
            <w:rPr>
              <w:sz w:val="24"/>
              <w:szCs w:val="24"/>
            </w:rPr>
            <w:fldChar w:fldCharType="end"/>
          </w:r>
          <w:r>
            <w:rPr>
              <w:sz w:val="24"/>
              <w:szCs w:val="24"/>
            </w:rPr>
            <w:fldChar w:fldCharType="end"/>
          </w:r>
        </w:p>
        <w:p w14:paraId="2BFFAF68">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_Toc29261 </w:instrText>
          </w:r>
          <w:r>
            <w:rPr>
              <w:sz w:val="24"/>
              <w:szCs w:val="24"/>
            </w:rPr>
            <w:fldChar w:fldCharType="separate"/>
          </w:r>
          <w:r>
            <w:rPr>
              <w:rFonts w:hint="eastAsia" w:ascii="楷体_GB2312" w:hAnsi="楷体_GB2312" w:eastAsia="楷体_GB2312" w:cs="楷体_GB2312"/>
              <w:bCs/>
              <w:spacing w:val="5"/>
              <w:sz w:val="24"/>
              <w:szCs w:val="24"/>
              <w:lang w:val="en-US" w:eastAsia="zh-CN"/>
            </w:rPr>
            <w:t>4.2革命文化教育</w:t>
          </w:r>
          <w:r>
            <w:rPr>
              <w:sz w:val="24"/>
              <w:szCs w:val="24"/>
            </w:rPr>
            <w:tab/>
          </w:r>
          <w:r>
            <w:rPr>
              <w:sz w:val="24"/>
              <w:szCs w:val="24"/>
            </w:rPr>
            <w:fldChar w:fldCharType="begin"/>
          </w:r>
          <w:r>
            <w:rPr>
              <w:sz w:val="24"/>
              <w:szCs w:val="24"/>
            </w:rPr>
            <w:instrText xml:space="preserve"> PAGEREF _Toc29261 \h </w:instrText>
          </w:r>
          <w:r>
            <w:rPr>
              <w:sz w:val="24"/>
              <w:szCs w:val="24"/>
            </w:rPr>
            <w:fldChar w:fldCharType="separate"/>
          </w:r>
          <w:r>
            <w:rPr>
              <w:sz w:val="24"/>
              <w:szCs w:val="24"/>
            </w:rPr>
            <w:t>29</w:t>
          </w:r>
          <w:r>
            <w:rPr>
              <w:sz w:val="24"/>
              <w:szCs w:val="24"/>
            </w:rPr>
            <w:fldChar w:fldCharType="end"/>
          </w:r>
          <w:r>
            <w:rPr>
              <w:sz w:val="24"/>
              <w:szCs w:val="24"/>
            </w:rPr>
            <w:fldChar w:fldCharType="end"/>
          </w:r>
        </w:p>
        <w:p w14:paraId="1E532CD4">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_Toc29952 </w:instrText>
          </w:r>
          <w:r>
            <w:rPr>
              <w:sz w:val="24"/>
              <w:szCs w:val="24"/>
            </w:rPr>
            <w:fldChar w:fldCharType="separate"/>
          </w:r>
          <w:r>
            <w:rPr>
              <w:rFonts w:hint="eastAsia" w:ascii="楷体_GB2312" w:hAnsi="楷体_GB2312" w:eastAsia="楷体_GB2312" w:cs="楷体_GB2312"/>
              <w:bCs/>
              <w:spacing w:val="5"/>
              <w:sz w:val="24"/>
              <w:szCs w:val="24"/>
              <w:lang w:val="en-US" w:eastAsia="zh-CN"/>
            </w:rPr>
            <w:t>4.3文明校园建设</w:t>
          </w:r>
          <w:r>
            <w:rPr>
              <w:sz w:val="24"/>
              <w:szCs w:val="24"/>
            </w:rPr>
            <w:tab/>
          </w:r>
          <w:r>
            <w:rPr>
              <w:sz w:val="24"/>
              <w:szCs w:val="24"/>
            </w:rPr>
            <w:fldChar w:fldCharType="begin"/>
          </w:r>
          <w:r>
            <w:rPr>
              <w:sz w:val="24"/>
              <w:szCs w:val="24"/>
            </w:rPr>
            <w:instrText xml:space="preserve"> PAGEREF _Toc29952 \h </w:instrText>
          </w:r>
          <w:r>
            <w:rPr>
              <w:sz w:val="24"/>
              <w:szCs w:val="24"/>
            </w:rPr>
            <w:fldChar w:fldCharType="separate"/>
          </w:r>
          <w:r>
            <w:rPr>
              <w:sz w:val="24"/>
              <w:szCs w:val="24"/>
            </w:rPr>
            <w:t>30</w:t>
          </w:r>
          <w:r>
            <w:rPr>
              <w:sz w:val="24"/>
              <w:szCs w:val="24"/>
            </w:rPr>
            <w:fldChar w:fldCharType="end"/>
          </w:r>
          <w:r>
            <w:rPr>
              <w:sz w:val="24"/>
              <w:szCs w:val="24"/>
            </w:rPr>
            <w:fldChar w:fldCharType="end"/>
          </w:r>
        </w:p>
        <w:p w14:paraId="7D55B38B">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_Toc16166 </w:instrText>
          </w:r>
          <w:r>
            <w:rPr>
              <w:sz w:val="24"/>
              <w:szCs w:val="24"/>
            </w:rPr>
            <w:fldChar w:fldCharType="separate"/>
          </w:r>
          <w:r>
            <w:rPr>
              <w:rFonts w:hint="eastAsia" w:ascii="黑体" w:hAnsi="黑体" w:eastAsia="黑体" w:cs="黑体"/>
              <w:bCs/>
              <w:spacing w:val="4"/>
              <w:sz w:val="24"/>
              <w:szCs w:val="24"/>
              <w:lang w:val="en-US" w:eastAsia="zh-CN"/>
            </w:rPr>
            <w:t>5国际合作</w:t>
          </w:r>
          <w:r>
            <w:rPr>
              <w:sz w:val="24"/>
              <w:szCs w:val="24"/>
            </w:rPr>
            <w:tab/>
          </w:r>
          <w:r>
            <w:rPr>
              <w:sz w:val="24"/>
              <w:szCs w:val="24"/>
            </w:rPr>
            <w:fldChar w:fldCharType="begin"/>
          </w:r>
          <w:r>
            <w:rPr>
              <w:sz w:val="24"/>
              <w:szCs w:val="24"/>
            </w:rPr>
            <w:instrText xml:space="preserve"> PAGEREF _Toc16166 \h </w:instrText>
          </w:r>
          <w:r>
            <w:rPr>
              <w:sz w:val="24"/>
              <w:szCs w:val="24"/>
            </w:rPr>
            <w:fldChar w:fldCharType="separate"/>
          </w:r>
          <w:r>
            <w:rPr>
              <w:sz w:val="24"/>
              <w:szCs w:val="24"/>
            </w:rPr>
            <w:t>33</w:t>
          </w:r>
          <w:r>
            <w:rPr>
              <w:sz w:val="24"/>
              <w:szCs w:val="24"/>
            </w:rPr>
            <w:fldChar w:fldCharType="end"/>
          </w:r>
          <w:r>
            <w:rPr>
              <w:sz w:val="24"/>
              <w:szCs w:val="24"/>
            </w:rPr>
            <w:fldChar w:fldCharType="end"/>
          </w:r>
        </w:p>
        <w:p w14:paraId="6EB78D49">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_Toc28859 </w:instrText>
          </w:r>
          <w:r>
            <w:rPr>
              <w:sz w:val="24"/>
              <w:szCs w:val="24"/>
            </w:rPr>
            <w:fldChar w:fldCharType="separate"/>
          </w:r>
          <w:r>
            <w:rPr>
              <w:rFonts w:hint="eastAsia" w:ascii="黑体" w:hAnsi="黑体" w:eastAsia="黑体" w:cs="黑体"/>
              <w:bCs/>
              <w:spacing w:val="4"/>
              <w:sz w:val="24"/>
              <w:szCs w:val="24"/>
              <w:lang w:val="en-US" w:eastAsia="zh-CN"/>
            </w:rPr>
            <w:t>6产教融合</w:t>
          </w:r>
          <w:r>
            <w:rPr>
              <w:sz w:val="24"/>
              <w:szCs w:val="24"/>
            </w:rPr>
            <w:tab/>
          </w:r>
          <w:r>
            <w:rPr>
              <w:sz w:val="24"/>
              <w:szCs w:val="24"/>
            </w:rPr>
            <w:fldChar w:fldCharType="begin"/>
          </w:r>
          <w:r>
            <w:rPr>
              <w:sz w:val="24"/>
              <w:szCs w:val="24"/>
            </w:rPr>
            <w:instrText xml:space="preserve"> PAGEREF _Toc28859 \h </w:instrText>
          </w:r>
          <w:r>
            <w:rPr>
              <w:sz w:val="24"/>
              <w:szCs w:val="24"/>
            </w:rPr>
            <w:fldChar w:fldCharType="separate"/>
          </w:r>
          <w:r>
            <w:rPr>
              <w:sz w:val="24"/>
              <w:szCs w:val="24"/>
            </w:rPr>
            <w:t>33</w:t>
          </w:r>
          <w:r>
            <w:rPr>
              <w:sz w:val="24"/>
              <w:szCs w:val="24"/>
            </w:rPr>
            <w:fldChar w:fldCharType="end"/>
          </w:r>
          <w:r>
            <w:rPr>
              <w:sz w:val="24"/>
              <w:szCs w:val="24"/>
            </w:rPr>
            <w:fldChar w:fldCharType="end"/>
          </w:r>
        </w:p>
        <w:p w14:paraId="7C7033A3">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_Toc17178 </w:instrText>
          </w:r>
          <w:r>
            <w:rPr>
              <w:sz w:val="24"/>
              <w:szCs w:val="24"/>
            </w:rPr>
            <w:fldChar w:fldCharType="separate"/>
          </w:r>
          <w:r>
            <w:rPr>
              <w:rFonts w:hint="eastAsia" w:ascii="楷体_GB2312" w:hAnsi="楷体_GB2312" w:eastAsia="楷体_GB2312" w:cs="楷体_GB2312"/>
              <w:bCs/>
              <w:spacing w:val="5"/>
              <w:sz w:val="24"/>
              <w:szCs w:val="24"/>
              <w:lang w:val="en-US" w:eastAsia="zh-CN"/>
            </w:rPr>
            <w:t>6.1专业培育与建设</w:t>
          </w:r>
          <w:r>
            <w:rPr>
              <w:sz w:val="24"/>
              <w:szCs w:val="24"/>
            </w:rPr>
            <w:tab/>
          </w:r>
          <w:r>
            <w:rPr>
              <w:sz w:val="24"/>
              <w:szCs w:val="24"/>
            </w:rPr>
            <w:fldChar w:fldCharType="begin"/>
          </w:r>
          <w:r>
            <w:rPr>
              <w:sz w:val="24"/>
              <w:szCs w:val="24"/>
            </w:rPr>
            <w:instrText xml:space="preserve"> PAGEREF _Toc17178 \h </w:instrText>
          </w:r>
          <w:r>
            <w:rPr>
              <w:sz w:val="24"/>
              <w:szCs w:val="24"/>
            </w:rPr>
            <w:fldChar w:fldCharType="separate"/>
          </w:r>
          <w:r>
            <w:rPr>
              <w:sz w:val="24"/>
              <w:szCs w:val="24"/>
            </w:rPr>
            <w:t>34</w:t>
          </w:r>
          <w:r>
            <w:rPr>
              <w:sz w:val="24"/>
              <w:szCs w:val="24"/>
            </w:rPr>
            <w:fldChar w:fldCharType="end"/>
          </w:r>
          <w:r>
            <w:rPr>
              <w:sz w:val="24"/>
              <w:szCs w:val="24"/>
            </w:rPr>
            <w:fldChar w:fldCharType="end"/>
          </w:r>
        </w:p>
        <w:p w14:paraId="2CE9C5F0">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_Toc15767 </w:instrText>
          </w:r>
          <w:r>
            <w:rPr>
              <w:sz w:val="24"/>
              <w:szCs w:val="24"/>
            </w:rPr>
            <w:fldChar w:fldCharType="separate"/>
          </w:r>
          <w:r>
            <w:rPr>
              <w:rFonts w:hint="eastAsia" w:ascii="楷体_GB2312" w:hAnsi="楷体_GB2312" w:eastAsia="楷体_GB2312" w:cs="楷体_GB2312"/>
              <w:bCs/>
              <w:spacing w:val="5"/>
              <w:sz w:val="24"/>
              <w:szCs w:val="24"/>
              <w:lang w:val="en-US" w:eastAsia="zh-CN"/>
            </w:rPr>
            <w:t>6.2校企双元育人</w:t>
          </w:r>
          <w:r>
            <w:rPr>
              <w:sz w:val="24"/>
              <w:szCs w:val="24"/>
            </w:rPr>
            <w:tab/>
          </w:r>
          <w:r>
            <w:rPr>
              <w:sz w:val="24"/>
              <w:szCs w:val="24"/>
            </w:rPr>
            <w:fldChar w:fldCharType="begin"/>
          </w:r>
          <w:r>
            <w:rPr>
              <w:sz w:val="24"/>
              <w:szCs w:val="24"/>
            </w:rPr>
            <w:instrText xml:space="preserve"> PAGEREF _Toc15767 \h </w:instrText>
          </w:r>
          <w:r>
            <w:rPr>
              <w:sz w:val="24"/>
              <w:szCs w:val="24"/>
            </w:rPr>
            <w:fldChar w:fldCharType="separate"/>
          </w:r>
          <w:r>
            <w:rPr>
              <w:sz w:val="24"/>
              <w:szCs w:val="24"/>
            </w:rPr>
            <w:t>34</w:t>
          </w:r>
          <w:r>
            <w:rPr>
              <w:sz w:val="24"/>
              <w:szCs w:val="24"/>
            </w:rPr>
            <w:fldChar w:fldCharType="end"/>
          </w:r>
          <w:r>
            <w:rPr>
              <w:sz w:val="24"/>
              <w:szCs w:val="24"/>
            </w:rPr>
            <w:fldChar w:fldCharType="end"/>
          </w:r>
        </w:p>
        <w:p w14:paraId="6BD22183">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_Toc10876 </w:instrText>
          </w:r>
          <w:r>
            <w:rPr>
              <w:sz w:val="24"/>
              <w:szCs w:val="24"/>
            </w:rPr>
            <w:fldChar w:fldCharType="separate"/>
          </w:r>
          <w:r>
            <w:rPr>
              <w:rFonts w:hint="eastAsia" w:ascii="黑体" w:hAnsi="黑体" w:eastAsia="黑体" w:cs="黑体"/>
              <w:bCs/>
              <w:spacing w:val="4"/>
              <w:sz w:val="24"/>
              <w:szCs w:val="24"/>
              <w:lang w:val="en-US" w:eastAsia="zh-CN"/>
            </w:rPr>
            <w:t>7发展保障</w:t>
          </w:r>
          <w:r>
            <w:rPr>
              <w:sz w:val="24"/>
              <w:szCs w:val="24"/>
            </w:rPr>
            <w:tab/>
          </w:r>
          <w:r>
            <w:rPr>
              <w:sz w:val="24"/>
              <w:szCs w:val="24"/>
            </w:rPr>
            <w:fldChar w:fldCharType="begin"/>
          </w:r>
          <w:r>
            <w:rPr>
              <w:sz w:val="24"/>
              <w:szCs w:val="24"/>
            </w:rPr>
            <w:instrText xml:space="preserve"> PAGEREF _Toc10876 \h </w:instrText>
          </w:r>
          <w:r>
            <w:rPr>
              <w:sz w:val="24"/>
              <w:szCs w:val="24"/>
            </w:rPr>
            <w:fldChar w:fldCharType="separate"/>
          </w:r>
          <w:r>
            <w:rPr>
              <w:sz w:val="24"/>
              <w:szCs w:val="24"/>
            </w:rPr>
            <w:t>36</w:t>
          </w:r>
          <w:r>
            <w:rPr>
              <w:sz w:val="24"/>
              <w:szCs w:val="24"/>
            </w:rPr>
            <w:fldChar w:fldCharType="end"/>
          </w:r>
          <w:r>
            <w:rPr>
              <w:sz w:val="24"/>
              <w:szCs w:val="24"/>
            </w:rPr>
            <w:fldChar w:fldCharType="end"/>
          </w:r>
        </w:p>
        <w:p w14:paraId="4FA7063E">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_Toc25903 </w:instrText>
          </w:r>
          <w:r>
            <w:rPr>
              <w:sz w:val="24"/>
              <w:szCs w:val="24"/>
            </w:rPr>
            <w:fldChar w:fldCharType="separate"/>
          </w:r>
          <w:r>
            <w:rPr>
              <w:rFonts w:hint="eastAsia" w:ascii="楷体_GB2312" w:hAnsi="楷体_GB2312" w:eastAsia="楷体_GB2312" w:cs="楷体_GB2312"/>
              <w:bCs/>
              <w:spacing w:val="5"/>
              <w:sz w:val="24"/>
              <w:szCs w:val="24"/>
              <w:lang w:val="en-US" w:eastAsia="zh-CN"/>
            </w:rPr>
            <w:t>7.1机制保障</w:t>
          </w:r>
          <w:r>
            <w:rPr>
              <w:sz w:val="24"/>
              <w:szCs w:val="24"/>
            </w:rPr>
            <w:tab/>
          </w:r>
          <w:r>
            <w:rPr>
              <w:sz w:val="24"/>
              <w:szCs w:val="24"/>
            </w:rPr>
            <w:fldChar w:fldCharType="begin"/>
          </w:r>
          <w:r>
            <w:rPr>
              <w:sz w:val="24"/>
              <w:szCs w:val="24"/>
            </w:rPr>
            <w:instrText xml:space="preserve"> PAGEREF _Toc25903 \h </w:instrText>
          </w:r>
          <w:r>
            <w:rPr>
              <w:sz w:val="24"/>
              <w:szCs w:val="24"/>
            </w:rPr>
            <w:fldChar w:fldCharType="separate"/>
          </w:r>
          <w:r>
            <w:rPr>
              <w:sz w:val="24"/>
              <w:szCs w:val="24"/>
            </w:rPr>
            <w:t>37</w:t>
          </w:r>
          <w:r>
            <w:rPr>
              <w:sz w:val="24"/>
              <w:szCs w:val="24"/>
            </w:rPr>
            <w:fldChar w:fldCharType="end"/>
          </w:r>
          <w:r>
            <w:rPr>
              <w:sz w:val="24"/>
              <w:szCs w:val="24"/>
            </w:rPr>
            <w:fldChar w:fldCharType="end"/>
          </w:r>
        </w:p>
        <w:p w14:paraId="66B2EC90">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_Toc21440 </w:instrText>
          </w:r>
          <w:r>
            <w:rPr>
              <w:sz w:val="24"/>
              <w:szCs w:val="24"/>
            </w:rPr>
            <w:fldChar w:fldCharType="separate"/>
          </w:r>
          <w:r>
            <w:rPr>
              <w:rFonts w:hint="eastAsia" w:ascii="楷体_GB2312" w:hAnsi="楷体_GB2312" w:eastAsia="楷体_GB2312" w:cs="楷体_GB2312"/>
              <w:bCs/>
              <w:spacing w:val="5"/>
              <w:sz w:val="24"/>
              <w:szCs w:val="24"/>
              <w:lang w:val="en-US" w:eastAsia="zh-CN"/>
            </w:rPr>
            <w:t>7.2质量保障</w:t>
          </w:r>
          <w:r>
            <w:rPr>
              <w:sz w:val="24"/>
              <w:szCs w:val="24"/>
            </w:rPr>
            <w:tab/>
          </w:r>
          <w:r>
            <w:rPr>
              <w:sz w:val="24"/>
              <w:szCs w:val="24"/>
            </w:rPr>
            <w:fldChar w:fldCharType="begin"/>
          </w:r>
          <w:r>
            <w:rPr>
              <w:sz w:val="24"/>
              <w:szCs w:val="24"/>
            </w:rPr>
            <w:instrText xml:space="preserve"> PAGEREF _Toc21440 \h </w:instrText>
          </w:r>
          <w:r>
            <w:rPr>
              <w:sz w:val="24"/>
              <w:szCs w:val="24"/>
            </w:rPr>
            <w:fldChar w:fldCharType="separate"/>
          </w:r>
          <w:r>
            <w:rPr>
              <w:sz w:val="24"/>
              <w:szCs w:val="24"/>
            </w:rPr>
            <w:t>39</w:t>
          </w:r>
          <w:r>
            <w:rPr>
              <w:sz w:val="24"/>
              <w:szCs w:val="24"/>
            </w:rPr>
            <w:fldChar w:fldCharType="end"/>
          </w:r>
          <w:r>
            <w:rPr>
              <w:sz w:val="24"/>
              <w:szCs w:val="24"/>
            </w:rPr>
            <w:fldChar w:fldCharType="end"/>
          </w:r>
        </w:p>
        <w:p w14:paraId="6EE7AD5A">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_Toc8847 </w:instrText>
          </w:r>
          <w:r>
            <w:rPr>
              <w:sz w:val="24"/>
              <w:szCs w:val="24"/>
            </w:rPr>
            <w:fldChar w:fldCharType="separate"/>
          </w:r>
          <w:r>
            <w:rPr>
              <w:rFonts w:hint="eastAsia" w:ascii="楷体_GB2312" w:hAnsi="楷体_GB2312" w:eastAsia="楷体_GB2312" w:cs="楷体_GB2312"/>
              <w:bCs/>
              <w:spacing w:val="5"/>
              <w:sz w:val="24"/>
              <w:szCs w:val="24"/>
              <w:lang w:val="en-US" w:eastAsia="zh-CN"/>
            </w:rPr>
            <w:t>7.3条件保障</w:t>
          </w:r>
          <w:r>
            <w:rPr>
              <w:sz w:val="24"/>
              <w:szCs w:val="24"/>
            </w:rPr>
            <w:tab/>
          </w:r>
          <w:r>
            <w:rPr>
              <w:sz w:val="24"/>
              <w:szCs w:val="24"/>
            </w:rPr>
            <w:fldChar w:fldCharType="begin"/>
          </w:r>
          <w:r>
            <w:rPr>
              <w:sz w:val="24"/>
              <w:szCs w:val="24"/>
            </w:rPr>
            <w:instrText xml:space="preserve"> PAGEREF _Toc8847 \h </w:instrText>
          </w:r>
          <w:r>
            <w:rPr>
              <w:sz w:val="24"/>
              <w:szCs w:val="24"/>
            </w:rPr>
            <w:fldChar w:fldCharType="separate"/>
          </w:r>
          <w:r>
            <w:rPr>
              <w:sz w:val="24"/>
              <w:szCs w:val="24"/>
            </w:rPr>
            <w:t>40</w:t>
          </w:r>
          <w:r>
            <w:rPr>
              <w:sz w:val="24"/>
              <w:szCs w:val="24"/>
            </w:rPr>
            <w:fldChar w:fldCharType="end"/>
          </w:r>
          <w:r>
            <w:rPr>
              <w:sz w:val="24"/>
              <w:szCs w:val="24"/>
            </w:rPr>
            <w:fldChar w:fldCharType="end"/>
          </w:r>
        </w:p>
        <w:p w14:paraId="1E0B4D1E">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_Toc6896 </w:instrText>
          </w:r>
          <w:r>
            <w:rPr>
              <w:sz w:val="24"/>
              <w:szCs w:val="24"/>
            </w:rPr>
            <w:fldChar w:fldCharType="separate"/>
          </w:r>
          <w:r>
            <w:rPr>
              <w:rFonts w:hint="eastAsia" w:ascii="楷体_GB2312" w:hAnsi="楷体_GB2312" w:eastAsia="楷体_GB2312" w:cs="楷体_GB2312"/>
              <w:bCs/>
              <w:spacing w:val="5"/>
              <w:sz w:val="24"/>
              <w:szCs w:val="24"/>
              <w:lang w:val="en-US" w:eastAsia="zh-CN"/>
            </w:rPr>
            <w:t>7.4专业动态调整</w:t>
          </w:r>
          <w:r>
            <w:rPr>
              <w:sz w:val="24"/>
              <w:szCs w:val="24"/>
            </w:rPr>
            <w:tab/>
          </w:r>
          <w:r>
            <w:rPr>
              <w:sz w:val="24"/>
              <w:szCs w:val="24"/>
            </w:rPr>
            <w:fldChar w:fldCharType="begin"/>
          </w:r>
          <w:r>
            <w:rPr>
              <w:sz w:val="24"/>
              <w:szCs w:val="24"/>
            </w:rPr>
            <w:instrText xml:space="preserve"> PAGEREF _Toc6896 \h </w:instrText>
          </w:r>
          <w:r>
            <w:rPr>
              <w:sz w:val="24"/>
              <w:szCs w:val="24"/>
            </w:rPr>
            <w:fldChar w:fldCharType="separate"/>
          </w:r>
          <w:r>
            <w:rPr>
              <w:sz w:val="24"/>
              <w:szCs w:val="24"/>
            </w:rPr>
            <w:t>40</w:t>
          </w:r>
          <w:r>
            <w:rPr>
              <w:sz w:val="24"/>
              <w:szCs w:val="24"/>
            </w:rPr>
            <w:fldChar w:fldCharType="end"/>
          </w:r>
          <w:r>
            <w:rPr>
              <w:sz w:val="24"/>
              <w:szCs w:val="24"/>
            </w:rPr>
            <w:fldChar w:fldCharType="end"/>
          </w:r>
        </w:p>
        <w:p w14:paraId="60394918">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_Toc21227 </w:instrText>
          </w:r>
          <w:r>
            <w:rPr>
              <w:sz w:val="24"/>
              <w:szCs w:val="24"/>
            </w:rPr>
            <w:fldChar w:fldCharType="separate"/>
          </w:r>
          <w:r>
            <w:rPr>
              <w:rFonts w:hint="eastAsia" w:ascii="楷体_GB2312" w:hAnsi="楷体_GB2312" w:eastAsia="楷体_GB2312" w:cs="楷体_GB2312"/>
              <w:bCs/>
              <w:spacing w:val="5"/>
              <w:sz w:val="24"/>
              <w:szCs w:val="24"/>
              <w:lang w:val="en-US" w:eastAsia="zh-CN"/>
            </w:rPr>
            <w:t>7.5优化教学改革，推动内涵发展</w:t>
          </w:r>
          <w:r>
            <w:rPr>
              <w:sz w:val="24"/>
              <w:szCs w:val="24"/>
            </w:rPr>
            <w:tab/>
          </w:r>
          <w:r>
            <w:rPr>
              <w:sz w:val="24"/>
              <w:szCs w:val="24"/>
            </w:rPr>
            <w:fldChar w:fldCharType="begin"/>
          </w:r>
          <w:r>
            <w:rPr>
              <w:sz w:val="24"/>
              <w:szCs w:val="24"/>
            </w:rPr>
            <w:instrText xml:space="preserve"> PAGEREF _Toc21227 \h </w:instrText>
          </w:r>
          <w:r>
            <w:rPr>
              <w:sz w:val="24"/>
              <w:szCs w:val="24"/>
            </w:rPr>
            <w:fldChar w:fldCharType="separate"/>
          </w:r>
          <w:r>
            <w:rPr>
              <w:sz w:val="24"/>
              <w:szCs w:val="24"/>
            </w:rPr>
            <w:t>40</w:t>
          </w:r>
          <w:r>
            <w:rPr>
              <w:sz w:val="24"/>
              <w:szCs w:val="24"/>
            </w:rPr>
            <w:fldChar w:fldCharType="end"/>
          </w:r>
          <w:r>
            <w:rPr>
              <w:sz w:val="24"/>
              <w:szCs w:val="24"/>
            </w:rPr>
            <w:fldChar w:fldCharType="end"/>
          </w:r>
        </w:p>
        <w:p w14:paraId="3E437FFF">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_Toc16275 </w:instrText>
          </w:r>
          <w:r>
            <w:rPr>
              <w:sz w:val="24"/>
              <w:szCs w:val="24"/>
            </w:rPr>
            <w:fldChar w:fldCharType="separate"/>
          </w:r>
          <w:r>
            <w:rPr>
              <w:rFonts w:hint="eastAsia" w:ascii="楷体_GB2312" w:hAnsi="楷体_GB2312" w:eastAsia="楷体_GB2312" w:cs="楷体_GB2312"/>
              <w:bCs/>
              <w:spacing w:val="5"/>
              <w:sz w:val="24"/>
              <w:szCs w:val="24"/>
              <w:lang w:val="en-US" w:eastAsia="zh-CN"/>
            </w:rPr>
            <w:t>7.6教师培养培训</w:t>
          </w:r>
          <w:r>
            <w:rPr>
              <w:sz w:val="24"/>
              <w:szCs w:val="24"/>
            </w:rPr>
            <w:tab/>
          </w:r>
          <w:r>
            <w:rPr>
              <w:sz w:val="24"/>
              <w:szCs w:val="24"/>
            </w:rPr>
            <w:fldChar w:fldCharType="begin"/>
          </w:r>
          <w:r>
            <w:rPr>
              <w:sz w:val="24"/>
              <w:szCs w:val="24"/>
            </w:rPr>
            <w:instrText xml:space="preserve"> PAGEREF _Toc16275 \h </w:instrText>
          </w:r>
          <w:r>
            <w:rPr>
              <w:sz w:val="24"/>
              <w:szCs w:val="24"/>
            </w:rPr>
            <w:fldChar w:fldCharType="separate"/>
          </w:r>
          <w:r>
            <w:rPr>
              <w:sz w:val="24"/>
              <w:szCs w:val="24"/>
            </w:rPr>
            <w:t>41</w:t>
          </w:r>
          <w:r>
            <w:rPr>
              <w:sz w:val="24"/>
              <w:szCs w:val="24"/>
            </w:rPr>
            <w:fldChar w:fldCharType="end"/>
          </w:r>
          <w:r>
            <w:rPr>
              <w:sz w:val="24"/>
              <w:szCs w:val="24"/>
            </w:rPr>
            <w:fldChar w:fldCharType="end"/>
          </w:r>
        </w:p>
        <w:p w14:paraId="18EDFA65">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_Toc5122 </w:instrText>
          </w:r>
          <w:r>
            <w:rPr>
              <w:sz w:val="24"/>
              <w:szCs w:val="24"/>
            </w:rPr>
            <w:fldChar w:fldCharType="separate"/>
          </w:r>
          <w:r>
            <w:rPr>
              <w:rFonts w:hint="eastAsia" w:ascii="楷体_GB2312" w:hAnsi="楷体_GB2312" w:eastAsia="楷体_GB2312" w:cs="楷体_GB2312"/>
              <w:bCs/>
              <w:spacing w:val="5"/>
              <w:sz w:val="24"/>
              <w:szCs w:val="24"/>
              <w:lang w:val="en-US" w:eastAsia="zh-CN"/>
            </w:rPr>
            <w:t>7.7人才培养</w:t>
          </w:r>
          <w:r>
            <w:rPr>
              <w:sz w:val="24"/>
              <w:szCs w:val="24"/>
            </w:rPr>
            <w:tab/>
          </w:r>
          <w:r>
            <w:rPr>
              <w:sz w:val="24"/>
              <w:szCs w:val="24"/>
            </w:rPr>
            <w:fldChar w:fldCharType="begin"/>
          </w:r>
          <w:r>
            <w:rPr>
              <w:sz w:val="24"/>
              <w:szCs w:val="24"/>
            </w:rPr>
            <w:instrText xml:space="preserve"> PAGEREF _Toc5122 \h </w:instrText>
          </w:r>
          <w:r>
            <w:rPr>
              <w:sz w:val="24"/>
              <w:szCs w:val="24"/>
            </w:rPr>
            <w:fldChar w:fldCharType="separate"/>
          </w:r>
          <w:r>
            <w:rPr>
              <w:sz w:val="24"/>
              <w:szCs w:val="24"/>
            </w:rPr>
            <w:t>41</w:t>
          </w:r>
          <w:r>
            <w:rPr>
              <w:sz w:val="24"/>
              <w:szCs w:val="24"/>
            </w:rPr>
            <w:fldChar w:fldCharType="end"/>
          </w:r>
          <w:r>
            <w:rPr>
              <w:sz w:val="24"/>
              <w:szCs w:val="24"/>
            </w:rPr>
            <w:fldChar w:fldCharType="end"/>
          </w:r>
        </w:p>
        <w:p w14:paraId="222F10FE">
          <w:pPr>
            <w:pStyle w:val="10"/>
            <w:tabs>
              <w:tab w:val="right" w:leader="dot" w:pos="8336"/>
            </w:tabs>
            <w:spacing w:line="360" w:lineRule="auto"/>
            <w:rPr>
              <w:sz w:val="24"/>
              <w:szCs w:val="24"/>
            </w:rPr>
          </w:pPr>
          <w:r>
            <w:rPr>
              <w:sz w:val="24"/>
              <w:szCs w:val="24"/>
            </w:rPr>
            <w:fldChar w:fldCharType="begin"/>
          </w:r>
          <w:r>
            <w:rPr>
              <w:sz w:val="24"/>
              <w:szCs w:val="24"/>
            </w:rPr>
            <w:instrText xml:space="preserve"> HYPERLINK \l _Toc3686 </w:instrText>
          </w:r>
          <w:r>
            <w:rPr>
              <w:sz w:val="24"/>
              <w:szCs w:val="24"/>
            </w:rPr>
            <w:fldChar w:fldCharType="separate"/>
          </w:r>
          <w:r>
            <w:rPr>
              <w:rFonts w:hint="eastAsia" w:ascii="黑体" w:hAnsi="黑体" w:eastAsia="黑体" w:cs="黑体"/>
              <w:bCs/>
              <w:spacing w:val="-2"/>
              <w:sz w:val="24"/>
              <w:szCs w:val="24"/>
            </w:rPr>
            <w:t>8挑战与展望</w:t>
          </w:r>
          <w:r>
            <w:rPr>
              <w:sz w:val="24"/>
              <w:szCs w:val="24"/>
            </w:rPr>
            <w:tab/>
          </w:r>
          <w:r>
            <w:rPr>
              <w:sz w:val="24"/>
              <w:szCs w:val="24"/>
            </w:rPr>
            <w:fldChar w:fldCharType="begin"/>
          </w:r>
          <w:r>
            <w:rPr>
              <w:sz w:val="24"/>
              <w:szCs w:val="24"/>
            </w:rPr>
            <w:instrText xml:space="preserve"> PAGEREF _Toc3686 \h </w:instrText>
          </w:r>
          <w:r>
            <w:rPr>
              <w:sz w:val="24"/>
              <w:szCs w:val="24"/>
            </w:rPr>
            <w:fldChar w:fldCharType="separate"/>
          </w:r>
          <w:r>
            <w:rPr>
              <w:sz w:val="24"/>
              <w:szCs w:val="24"/>
            </w:rPr>
            <w:t>43</w:t>
          </w:r>
          <w:r>
            <w:rPr>
              <w:sz w:val="24"/>
              <w:szCs w:val="24"/>
            </w:rPr>
            <w:fldChar w:fldCharType="end"/>
          </w:r>
          <w:r>
            <w:rPr>
              <w:sz w:val="24"/>
              <w:szCs w:val="24"/>
            </w:rPr>
            <w:fldChar w:fldCharType="end"/>
          </w:r>
        </w:p>
        <w:p w14:paraId="1B777222">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_Toc14356 </w:instrText>
          </w:r>
          <w:r>
            <w:rPr>
              <w:sz w:val="24"/>
              <w:szCs w:val="24"/>
            </w:rPr>
            <w:fldChar w:fldCharType="separate"/>
          </w:r>
          <w:r>
            <w:rPr>
              <w:rFonts w:hint="eastAsia" w:ascii="楷体_GB2312" w:hAnsi="楷体_GB2312" w:eastAsia="楷体_GB2312" w:cs="楷体_GB2312"/>
              <w:bCs/>
              <w:spacing w:val="5"/>
              <w:sz w:val="24"/>
              <w:szCs w:val="24"/>
              <w:lang w:val="en-US" w:eastAsia="zh-CN"/>
            </w:rPr>
            <w:t>8.1师资队伍建设强化工程</w:t>
          </w:r>
          <w:r>
            <w:rPr>
              <w:sz w:val="24"/>
              <w:szCs w:val="24"/>
            </w:rPr>
            <w:tab/>
          </w:r>
          <w:r>
            <w:rPr>
              <w:sz w:val="24"/>
              <w:szCs w:val="24"/>
            </w:rPr>
            <w:fldChar w:fldCharType="begin"/>
          </w:r>
          <w:r>
            <w:rPr>
              <w:sz w:val="24"/>
              <w:szCs w:val="24"/>
            </w:rPr>
            <w:instrText xml:space="preserve"> PAGEREF _Toc14356 \h </w:instrText>
          </w:r>
          <w:r>
            <w:rPr>
              <w:sz w:val="24"/>
              <w:szCs w:val="24"/>
            </w:rPr>
            <w:fldChar w:fldCharType="separate"/>
          </w:r>
          <w:r>
            <w:rPr>
              <w:sz w:val="24"/>
              <w:szCs w:val="24"/>
            </w:rPr>
            <w:t>44</w:t>
          </w:r>
          <w:r>
            <w:rPr>
              <w:sz w:val="24"/>
              <w:szCs w:val="24"/>
            </w:rPr>
            <w:fldChar w:fldCharType="end"/>
          </w:r>
          <w:r>
            <w:rPr>
              <w:sz w:val="24"/>
              <w:szCs w:val="24"/>
            </w:rPr>
            <w:fldChar w:fldCharType="end"/>
          </w:r>
        </w:p>
        <w:p w14:paraId="6511B423">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_Toc24410 </w:instrText>
          </w:r>
          <w:r>
            <w:rPr>
              <w:sz w:val="24"/>
              <w:szCs w:val="24"/>
            </w:rPr>
            <w:fldChar w:fldCharType="separate"/>
          </w:r>
          <w:r>
            <w:rPr>
              <w:rFonts w:hint="eastAsia" w:ascii="楷体_GB2312" w:hAnsi="楷体_GB2312" w:eastAsia="楷体_GB2312" w:cs="楷体_GB2312"/>
              <w:bCs/>
              <w:spacing w:val="5"/>
              <w:sz w:val="24"/>
              <w:szCs w:val="24"/>
              <w:lang w:val="en-US" w:eastAsia="zh-CN"/>
            </w:rPr>
            <w:t>8.2党建工作全面提升</w:t>
          </w:r>
          <w:r>
            <w:rPr>
              <w:sz w:val="24"/>
              <w:szCs w:val="24"/>
            </w:rPr>
            <w:tab/>
          </w:r>
          <w:r>
            <w:rPr>
              <w:sz w:val="24"/>
              <w:szCs w:val="24"/>
            </w:rPr>
            <w:fldChar w:fldCharType="begin"/>
          </w:r>
          <w:r>
            <w:rPr>
              <w:sz w:val="24"/>
              <w:szCs w:val="24"/>
            </w:rPr>
            <w:instrText xml:space="preserve"> PAGEREF _Toc24410 \h </w:instrText>
          </w:r>
          <w:r>
            <w:rPr>
              <w:sz w:val="24"/>
              <w:szCs w:val="24"/>
            </w:rPr>
            <w:fldChar w:fldCharType="separate"/>
          </w:r>
          <w:r>
            <w:rPr>
              <w:sz w:val="24"/>
              <w:szCs w:val="24"/>
            </w:rPr>
            <w:t>44</w:t>
          </w:r>
          <w:r>
            <w:rPr>
              <w:sz w:val="24"/>
              <w:szCs w:val="24"/>
            </w:rPr>
            <w:fldChar w:fldCharType="end"/>
          </w:r>
          <w:r>
            <w:rPr>
              <w:sz w:val="24"/>
              <w:szCs w:val="24"/>
            </w:rPr>
            <w:fldChar w:fldCharType="end"/>
          </w:r>
        </w:p>
        <w:p w14:paraId="1B0382CC">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_Toc7495 </w:instrText>
          </w:r>
          <w:r>
            <w:rPr>
              <w:sz w:val="24"/>
              <w:szCs w:val="24"/>
            </w:rPr>
            <w:fldChar w:fldCharType="separate"/>
          </w:r>
          <w:r>
            <w:rPr>
              <w:rFonts w:hint="eastAsia" w:ascii="楷体_GB2312" w:hAnsi="楷体_GB2312" w:eastAsia="楷体_GB2312" w:cs="楷体_GB2312"/>
              <w:bCs/>
              <w:spacing w:val="5"/>
              <w:sz w:val="24"/>
              <w:szCs w:val="24"/>
              <w:lang w:val="en-US" w:eastAsia="zh-CN"/>
            </w:rPr>
            <w:t>8.3教学规范管理精细化</w:t>
          </w:r>
          <w:r>
            <w:rPr>
              <w:sz w:val="24"/>
              <w:szCs w:val="24"/>
            </w:rPr>
            <w:tab/>
          </w:r>
          <w:r>
            <w:rPr>
              <w:sz w:val="24"/>
              <w:szCs w:val="24"/>
            </w:rPr>
            <w:fldChar w:fldCharType="begin"/>
          </w:r>
          <w:r>
            <w:rPr>
              <w:sz w:val="24"/>
              <w:szCs w:val="24"/>
            </w:rPr>
            <w:instrText xml:space="preserve"> PAGEREF _Toc7495 \h </w:instrText>
          </w:r>
          <w:r>
            <w:rPr>
              <w:sz w:val="24"/>
              <w:szCs w:val="24"/>
            </w:rPr>
            <w:fldChar w:fldCharType="separate"/>
          </w:r>
          <w:r>
            <w:rPr>
              <w:sz w:val="24"/>
              <w:szCs w:val="24"/>
            </w:rPr>
            <w:t>45</w:t>
          </w:r>
          <w:r>
            <w:rPr>
              <w:sz w:val="24"/>
              <w:szCs w:val="24"/>
            </w:rPr>
            <w:fldChar w:fldCharType="end"/>
          </w:r>
          <w:r>
            <w:rPr>
              <w:sz w:val="24"/>
              <w:szCs w:val="24"/>
            </w:rPr>
            <w:fldChar w:fldCharType="end"/>
          </w:r>
        </w:p>
        <w:p w14:paraId="287720E0">
          <w:pPr>
            <w:pStyle w:val="11"/>
            <w:tabs>
              <w:tab w:val="right" w:leader="dot" w:pos="8336"/>
            </w:tabs>
            <w:spacing w:line="360" w:lineRule="auto"/>
            <w:rPr>
              <w:sz w:val="24"/>
              <w:szCs w:val="24"/>
            </w:rPr>
          </w:pPr>
          <w:r>
            <w:rPr>
              <w:sz w:val="24"/>
              <w:szCs w:val="24"/>
            </w:rPr>
            <w:fldChar w:fldCharType="begin"/>
          </w:r>
          <w:r>
            <w:rPr>
              <w:sz w:val="24"/>
              <w:szCs w:val="24"/>
            </w:rPr>
            <w:instrText xml:space="preserve"> HYPERLINK \l _Toc9781 </w:instrText>
          </w:r>
          <w:r>
            <w:rPr>
              <w:sz w:val="24"/>
              <w:szCs w:val="24"/>
            </w:rPr>
            <w:fldChar w:fldCharType="separate"/>
          </w:r>
          <w:r>
            <w:rPr>
              <w:rFonts w:hint="eastAsia" w:ascii="楷体_GB2312" w:hAnsi="楷体_GB2312" w:eastAsia="楷体_GB2312" w:cs="楷体_GB2312"/>
              <w:bCs/>
              <w:spacing w:val="5"/>
              <w:sz w:val="24"/>
              <w:szCs w:val="24"/>
              <w:lang w:val="en-US" w:eastAsia="zh-CN"/>
            </w:rPr>
            <w:t>8.4特色课程体系构建与专业集群建设协同推进</w:t>
          </w:r>
          <w:r>
            <w:rPr>
              <w:sz w:val="24"/>
              <w:szCs w:val="24"/>
            </w:rPr>
            <w:tab/>
          </w:r>
          <w:r>
            <w:rPr>
              <w:sz w:val="24"/>
              <w:szCs w:val="24"/>
            </w:rPr>
            <w:fldChar w:fldCharType="begin"/>
          </w:r>
          <w:r>
            <w:rPr>
              <w:sz w:val="24"/>
              <w:szCs w:val="24"/>
            </w:rPr>
            <w:instrText xml:space="preserve"> PAGEREF _Toc9781 \h </w:instrText>
          </w:r>
          <w:r>
            <w:rPr>
              <w:sz w:val="24"/>
              <w:szCs w:val="24"/>
            </w:rPr>
            <w:fldChar w:fldCharType="separate"/>
          </w:r>
          <w:r>
            <w:rPr>
              <w:sz w:val="24"/>
              <w:szCs w:val="24"/>
            </w:rPr>
            <w:t>46</w:t>
          </w:r>
          <w:r>
            <w:rPr>
              <w:sz w:val="24"/>
              <w:szCs w:val="24"/>
            </w:rPr>
            <w:fldChar w:fldCharType="end"/>
          </w:r>
          <w:r>
            <w:rPr>
              <w:sz w:val="24"/>
              <w:szCs w:val="24"/>
            </w:rPr>
            <w:fldChar w:fldCharType="end"/>
          </w:r>
        </w:p>
        <w:p w14:paraId="52E4EA7A">
          <w:pPr>
            <w:spacing w:line="360" w:lineRule="auto"/>
            <w:rPr>
              <w:rFonts w:ascii="Arial" w:hAnsi="Arial" w:eastAsia="Arial" w:cs="Arial"/>
              <w:snapToGrid w:val="0"/>
              <w:color w:val="000000"/>
              <w:kern w:val="0"/>
              <w:sz w:val="24"/>
              <w:szCs w:val="24"/>
              <w:lang w:val="en-US" w:eastAsia="en-US" w:bidi="ar-SA"/>
            </w:rPr>
          </w:pPr>
          <w:r>
            <w:rPr>
              <w:sz w:val="24"/>
              <w:szCs w:val="24"/>
            </w:rPr>
            <w:fldChar w:fldCharType="end"/>
          </w:r>
        </w:p>
      </w:sdtContent>
    </w:sdt>
    <w:p w14:paraId="00EBE954">
      <w:pPr>
        <w:rPr>
          <w:rFonts w:ascii="Arial" w:hAnsi="Arial" w:eastAsia="Arial" w:cs="Arial"/>
          <w:snapToGrid w:val="0"/>
          <w:color w:val="000000"/>
          <w:kern w:val="0"/>
          <w:sz w:val="21"/>
          <w:szCs w:val="21"/>
          <w:lang w:val="en-US" w:eastAsia="en-US" w:bidi="ar-SA"/>
        </w:rPr>
      </w:pPr>
    </w:p>
    <w:p w14:paraId="0365A426">
      <w:r>
        <w:br w:type="page"/>
      </w:r>
    </w:p>
    <w:p w14:paraId="34F67E4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pPr>
    </w:p>
    <w:sdt>
      <w:sdtPr>
        <w:rPr>
          <w:rFonts w:ascii="宋体" w:hAnsi="宋体" w:eastAsia="宋体" w:cs="Arial"/>
          <w:snapToGrid w:val="0"/>
          <w:color w:val="000000"/>
          <w:kern w:val="0"/>
          <w:sz w:val="21"/>
          <w:szCs w:val="21"/>
          <w:lang w:val="en-US" w:eastAsia="en-US" w:bidi="ar-SA"/>
        </w:rPr>
        <w:id w:val="147461911"/>
        <w15:color w:val="DBDBDB"/>
        <w:docPartObj>
          <w:docPartGallery w:val="Table of Contents"/>
          <w:docPartUnique/>
        </w:docPartObj>
      </w:sdtPr>
      <w:sdtEndPr>
        <w:rPr>
          <w:rFonts w:ascii="仿宋" w:hAnsi="仿宋" w:eastAsia="仿宋" w:cs="仿宋"/>
          <w:snapToGrid w:val="0"/>
          <w:color w:val="000000"/>
          <w:kern w:val="0"/>
          <w:sz w:val="21"/>
          <w:szCs w:val="35"/>
          <w:lang w:val="en-US" w:eastAsia="en-US" w:bidi="ar-SA"/>
        </w:rPr>
      </w:sdtEndPr>
      <w:sdtContent>
        <w:p w14:paraId="0A33DA5E">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napToGrid w:val="0"/>
              <w:color w:val="000000"/>
              <w:kern w:val="0"/>
              <w:sz w:val="44"/>
              <w:szCs w:val="44"/>
              <w:lang w:val="en-US" w:eastAsia="zh-CN" w:bidi="ar-SA"/>
            </w:rPr>
            <w:t>图</w:t>
          </w:r>
          <w:r>
            <w:rPr>
              <w:rFonts w:hint="eastAsia" w:ascii="黑体" w:hAnsi="黑体" w:eastAsia="黑体" w:cs="黑体"/>
              <w:sz w:val="44"/>
              <w:szCs w:val="44"/>
            </w:rPr>
            <w:t>目录</w:t>
          </w:r>
        </w:p>
        <w:p w14:paraId="59F9564D">
          <w:pPr>
            <w:pStyle w:val="22"/>
            <w:tabs>
              <w:tab w:val="right" w:leader="dot" w:pos="8336"/>
            </w:tabs>
          </w:pPr>
          <w:r>
            <w:rPr>
              <w:rFonts w:ascii="仿宋" w:hAnsi="仿宋" w:eastAsia="仿宋" w:cs="仿宋"/>
              <w:snapToGrid w:val="0"/>
              <w:color w:val="000000"/>
              <w:kern w:val="0"/>
              <w:sz w:val="21"/>
              <w:szCs w:val="35"/>
              <w:lang w:val="en-US" w:eastAsia="en-US" w:bidi="ar-SA"/>
            </w:rPr>
            <w:fldChar w:fldCharType="begin"/>
          </w:r>
          <w:r>
            <w:rPr>
              <w:rFonts w:ascii="仿宋" w:hAnsi="仿宋" w:eastAsia="仿宋" w:cs="仿宋"/>
              <w:snapToGrid w:val="0"/>
              <w:color w:val="000000"/>
              <w:kern w:val="0"/>
              <w:sz w:val="21"/>
              <w:szCs w:val="35"/>
              <w:lang w:val="en-US" w:eastAsia="en-US" w:bidi="ar-SA"/>
            </w:rPr>
            <w:instrText xml:space="preserve">TOC \o "1-3" \h \u </w:instrText>
          </w:r>
          <w:r>
            <w:rPr>
              <w:rFonts w:ascii="仿宋" w:hAnsi="仿宋" w:eastAsia="仿宋" w:cs="仿宋"/>
              <w:snapToGrid w:val="0"/>
              <w:color w:val="000000"/>
              <w:kern w:val="0"/>
              <w:sz w:val="21"/>
              <w:szCs w:val="35"/>
              <w:lang w:val="en-US" w:eastAsia="en-US" w:bidi="ar-SA"/>
            </w:rPr>
            <w:fldChar w:fldCharType="separate"/>
          </w:r>
        </w:p>
        <w:p w14:paraId="1B276812">
          <w:pPr>
            <w:pStyle w:val="23"/>
            <w:tabs>
              <w:tab w:val="right" w:leader="dot" w:pos="8336"/>
            </w:tabs>
            <w:spacing w:line="360" w:lineRule="auto"/>
            <w:ind w:left="0" w:leftChars="0" w:firstLine="0" w:firstLineChars="0"/>
            <w:rPr>
              <w:rFonts w:hint="eastAsia" w:ascii="黑体" w:hAnsi="黑体" w:eastAsia="黑体" w:cs="黑体"/>
              <w:sz w:val="28"/>
              <w:szCs w:val="28"/>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_Toc8816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1-1</w:t>
          </w:r>
          <w:r>
            <w:rPr>
              <w:rFonts w:hint="eastAsia" w:ascii="黑体" w:hAnsi="黑体" w:eastAsia="黑体" w:cs="黑体"/>
              <w:bCs w:val="0"/>
              <w:sz w:val="28"/>
              <w:szCs w:val="28"/>
              <w:lang w:eastAsia="zh-CN"/>
            </w:rPr>
            <w:t>学校机房和实训基地</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_Toc8816 \h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3F51107E">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_Toc785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2-1学生漂亮的黑板报</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_Toc785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lang w:val="en-US" w:eastAsia="zh-CN"/>
            </w:rPr>
            <w:t>4</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7BAFE98B">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napToGrid w:val="0"/>
              <w:color w:val="000000"/>
              <w:kern w:val="0"/>
              <w:sz w:val="28"/>
              <w:szCs w:val="28"/>
              <w:lang w:val="en-US" w:eastAsia="en-US" w:bidi="ar-SA"/>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_Toc14472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2-2急救实战演练</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_Toc14472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lang w:val="en-US" w:eastAsia="zh-CN"/>
            </w:rPr>
            <w:t>5</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42FCD5DB">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_Toc28834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图2-</w:t>
          </w:r>
          <w:r>
            <w:rPr>
              <w:rFonts w:hint="eastAsia" w:ascii="黑体" w:hAnsi="黑体" w:eastAsia="黑体" w:cs="黑体"/>
              <w:bCs w:val="0"/>
              <w:sz w:val="28"/>
              <w:szCs w:val="28"/>
              <w:lang w:val="en-US" w:eastAsia="zh-CN"/>
            </w:rPr>
            <w:t>3</w:t>
          </w:r>
          <w:r>
            <w:rPr>
              <w:rFonts w:hint="eastAsia" w:ascii="黑体" w:hAnsi="黑体" w:eastAsia="黑体" w:cs="黑体"/>
              <w:bCs w:val="0"/>
              <w:sz w:val="28"/>
              <w:szCs w:val="28"/>
              <w:lang w:eastAsia="zh-CN"/>
            </w:rPr>
            <w:t>校外红色基地主题教育</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_Toc28834 \h </w:instrText>
          </w:r>
          <w:r>
            <w:rPr>
              <w:rFonts w:hint="eastAsia" w:ascii="黑体" w:hAnsi="黑体" w:eastAsia="黑体" w:cs="黑体"/>
              <w:sz w:val="28"/>
              <w:szCs w:val="28"/>
            </w:rPr>
            <w:fldChar w:fldCharType="separate"/>
          </w:r>
          <w:r>
            <w:rPr>
              <w:rFonts w:hint="eastAsia" w:ascii="黑体" w:hAnsi="黑体" w:eastAsia="黑体" w:cs="黑体"/>
              <w:sz w:val="28"/>
              <w:szCs w:val="28"/>
            </w:rPr>
            <w:t>1</w:t>
          </w:r>
          <w:r>
            <w:rPr>
              <w:rFonts w:hint="eastAsia" w:ascii="黑体" w:hAnsi="黑体" w:eastAsia="黑体" w:cs="黑体"/>
              <w:sz w:val="28"/>
              <w:szCs w:val="28"/>
              <w:lang w:val="en-US" w:eastAsia="zh-CN"/>
            </w:rPr>
            <w:t>7</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4F3FBAA3">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_Toc31514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val="en-US" w:eastAsia="zh-CN"/>
            </w:rPr>
            <w:t>图2-4学习满意度调查</w:t>
          </w:r>
          <w:r>
            <w:rPr>
              <w:rFonts w:hint="eastAsia" w:ascii="黑体" w:hAnsi="黑体" w:eastAsia="黑体" w:cs="黑体"/>
              <w:sz w:val="28"/>
              <w:szCs w:val="28"/>
            </w:rPr>
            <w:tab/>
          </w:r>
          <w:r>
            <w:rPr>
              <w:rFonts w:hint="eastAsia" w:ascii="黑体" w:hAnsi="黑体" w:eastAsia="黑体" w:cs="黑体"/>
              <w:sz w:val="28"/>
              <w:szCs w:val="28"/>
              <w:lang w:val="en-US" w:eastAsia="zh-CN"/>
            </w:rPr>
            <w:t>1</w:t>
          </w:r>
          <w:r>
            <w:rPr>
              <w:rFonts w:hint="eastAsia" w:ascii="黑体" w:hAnsi="黑体" w:eastAsia="黑体" w:cs="黑体"/>
              <w:snapToGrid w:val="0"/>
              <w:color w:val="000000"/>
              <w:kern w:val="0"/>
              <w:sz w:val="28"/>
              <w:szCs w:val="28"/>
              <w:lang w:val="en-US" w:eastAsia="en-US" w:bidi="ar-SA"/>
            </w:rPr>
            <w:fldChar w:fldCharType="end"/>
          </w:r>
          <w:r>
            <w:rPr>
              <w:rFonts w:hint="eastAsia" w:ascii="黑体" w:hAnsi="黑体" w:eastAsia="黑体" w:cs="黑体"/>
              <w:snapToGrid w:val="0"/>
              <w:color w:val="000000"/>
              <w:kern w:val="0"/>
              <w:sz w:val="28"/>
              <w:szCs w:val="28"/>
              <w:lang w:val="en-US" w:eastAsia="zh-CN" w:bidi="ar-SA"/>
            </w:rPr>
            <w:t>9</w:t>
          </w:r>
        </w:p>
        <w:p w14:paraId="6F84E6A4">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_Toc18238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2-5</w:t>
          </w:r>
          <w:r>
            <w:rPr>
              <w:rFonts w:hint="eastAsia" w:ascii="黑体" w:hAnsi="黑体" w:eastAsia="黑体" w:cs="黑体"/>
              <w:bCs w:val="0"/>
              <w:sz w:val="28"/>
              <w:szCs w:val="28"/>
              <w:lang w:eastAsia="zh-CN"/>
            </w:rPr>
            <w:t>学生校园生活满意度</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_Toc18238 \h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lang w:val="en-US" w:eastAsia="zh-CN"/>
            </w:rPr>
            <w:t>0</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1BA56A32">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_Toc29668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2-6</w:t>
          </w:r>
          <w:r>
            <w:rPr>
              <w:rFonts w:hint="eastAsia" w:ascii="黑体" w:hAnsi="黑体" w:eastAsia="黑体" w:cs="黑体"/>
              <w:bCs w:val="0"/>
              <w:sz w:val="28"/>
              <w:szCs w:val="28"/>
              <w:lang w:eastAsia="zh-CN"/>
            </w:rPr>
            <w:t>学生校园安全满意度</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_Toc29668 \h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lang w:val="en-US" w:eastAsia="zh-CN"/>
            </w:rPr>
            <w:t>0</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532A7FB2">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_Toc11545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3-1丰收的喜悦</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napToGrid w:val="0"/>
              <w:color w:val="000000"/>
              <w:kern w:val="0"/>
              <w:sz w:val="28"/>
              <w:szCs w:val="28"/>
              <w:lang w:val="en-US" w:eastAsia="en-US" w:bidi="ar-SA"/>
            </w:rPr>
            <w:fldChar w:fldCharType="end"/>
          </w:r>
          <w:r>
            <w:rPr>
              <w:rFonts w:hint="eastAsia" w:ascii="黑体" w:hAnsi="黑体" w:eastAsia="黑体" w:cs="黑体"/>
              <w:snapToGrid w:val="0"/>
              <w:color w:val="000000"/>
              <w:kern w:val="0"/>
              <w:sz w:val="28"/>
              <w:szCs w:val="28"/>
              <w:lang w:val="en-US" w:eastAsia="zh-CN" w:bidi="ar-SA"/>
            </w:rPr>
            <w:t>4</w:t>
          </w:r>
        </w:p>
        <w:p w14:paraId="6DC4E292">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_Toc13833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3-2传统文化的魅力</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_Toc13833 \h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lang w:val="en-US" w:eastAsia="zh-CN"/>
            </w:rPr>
            <w:t>5</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53015630">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_Toc2124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3-3直播间实践</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_Toc2124 \h </w:instrText>
          </w:r>
          <w:r>
            <w:rPr>
              <w:rFonts w:hint="eastAsia" w:ascii="黑体" w:hAnsi="黑体" w:eastAsia="黑体" w:cs="黑体"/>
              <w:sz w:val="28"/>
              <w:szCs w:val="28"/>
            </w:rPr>
            <w:fldChar w:fldCharType="separate"/>
          </w:r>
          <w:r>
            <w:rPr>
              <w:rFonts w:hint="eastAsia" w:ascii="黑体" w:hAnsi="黑体" w:eastAsia="黑体" w:cs="黑体"/>
              <w:sz w:val="28"/>
              <w:szCs w:val="28"/>
            </w:rPr>
            <w:t>2</w:t>
          </w:r>
          <w:r>
            <w:rPr>
              <w:rFonts w:hint="eastAsia" w:ascii="黑体" w:hAnsi="黑体" w:eastAsia="黑体" w:cs="黑体"/>
              <w:sz w:val="28"/>
              <w:szCs w:val="28"/>
              <w:lang w:val="en-US" w:eastAsia="zh-CN"/>
            </w:rPr>
            <w:t>7</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04BCC373">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_Toc31776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图4-1学生</w:t>
          </w:r>
          <w:r>
            <w:rPr>
              <w:rFonts w:hint="eastAsia" w:ascii="黑体" w:hAnsi="黑体" w:eastAsia="黑体" w:cs="黑体"/>
              <w:bCs w:val="0"/>
              <w:sz w:val="28"/>
              <w:szCs w:val="28"/>
              <w:lang w:val="en-US" w:eastAsia="zh-CN"/>
            </w:rPr>
            <w:t>工艺展</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napToGrid w:val="0"/>
              <w:color w:val="000000"/>
              <w:kern w:val="0"/>
              <w:sz w:val="28"/>
              <w:szCs w:val="28"/>
              <w:lang w:val="en-US" w:eastAsia="en-US" w:bidi="ar-SA"/>
            </w:rPr>
            <w:fldChar w:fldCharType="end"/>
          </w:r>
          <w:r>
            <w:rPr>
              <w:rFonts w:hint="eastAsia" w:ascii="黑体" w:hAnsi="黑体" w:eastAsia="黑体" w:cs="黑体"/>
              <w:snapToGrid w:val="0"/>
              <w:color w:val="000000"/>
              <w:kern w:val="0"/>
              <w:sz w:val="28"/>
              <w:szCs w:val="28"/>
              <w:lang w:val="en-US" w:eastAsia="zh-CN" w:bidi="ar-SA"/>
            </w:rPr>
            <w:t>9</w:t>
          </w:r>
        </w:p>
        <w:p w14:paraId="1AC42930">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_Toc31787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val="en-US" w:eastAsia="zh-CN"/>
            </w:rPr>
            <w:t>图4-2学校师生在革命纪念馆参观</w:t>
          </w:r>
          <w:r>
            <w:rPr>
              <w:rFonts w:hint="eastAsia" w:ascii="黑体" w:hAnsi="黑体" w:eastAsia="黑体" w:cs="黑体"/>
              <w:sz w:val="28"/>
              <w:szCs w:val="28"/>
            </w:rPr>
            <w:tab/>
          </w:r>
          <w:r>
            <w:rPr>
              <w:rFonts w:hint="eastAsia" w:ascii="黑体" w:hAnsi="黑体" w:eastAsia="黑体" w:cs="黑体"/>
              <w:sz w:val="28"/>
              <w:szCs w:val="28"/>
              <w:lang w:val="en-US" w:eastAsia="zh-CN"/>
            </w:rPr>
            <w:t>3</w:t>
          </w:r>
          <w:r>
            <w:rPr>
              <w:rFonts w:hint="eastAsia" w:ascii="黑体" w:hAnsi="黑体" w:eastAsia="黑体" w:cs="黑体"/>
              <w:snapToGrid w:val="0"/>
              <w:color w:val="000000"/>
              <w:kern w:val="0"/>
              <w:sz w:val="28"/>
              <w:szCs w:val="28"/>
              <w:lang w:val="en-US" w:eastAsia="en-US" w:bidi="ar-SA"/>
            </w:rPr>
            <w:fldChar w:fldCharType="end"/>
          </w:r>
          <w:r>
            <w:rPr>
              <w:rFonts w:hint="eastAsia" w:ascii="黑体" w:hAnsi="黑体" w:eastAsia="黑体" w:cs="黑体"/>
              <w:snapToGrid w:val="0"/>
              <w:color w:val="000000"/>
              <w:kern w:val="0"/>
              <w:sz w:val="28"/>
              <w:szCs w:val="28"/>
              <w:lang w:val="en-US" w:eastAsia="zh-CN" w:bidi="ar-SA"/>
            </w:rPr>
            <w:t>0</w:t>
          </w:r>
        </w:p>
        <w:p w14:paraId="69CE8A77">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_Toc13567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val="en-US" w:eastAsia="zh-CN"/>
            </w:rPr>
            <w:t>图4-3学校师生志愿者活动</w:t>
          </w:r>
          <w:r>
            <w:rPr>
              <w:rFonts w:hint="eastAsia" w:ascii="黑体" w:hAnsi="黑体" w:eastAsia="黑体" w:cs="黑体"/>
              <w:sz w:val="28"/>
              <w:szCs w:val="28"/>
            </w:rPr>
            <w:tab/>
          </w:r>
          <w:r>
            <w:rPr>
              <w:rFonts w:hint="eastAsia" w:ascii="黑体" w:hAnsi="黑体" w:eastAsia="黑体" w:cs="黑体"/>
              <w:sz w:val="28"/>
              <w:szCs w:val="28"/>
              <w:lang w:val="en-US" w:eastAsia="zh-CN"/>
            </w:rPr>
            <w:t>3</w:t>
          </w:r>
          <w:r>
            <w:rPr>
              <w:rFonts w:hint="eastAsia" w:ascii="黑体" w:hAnsi="黑体" w:eastAsia="黑体" w:cs="黑体"/>
              <w:snapToGrid w:val="0"/>
              <w:color w:val="000000"/>
              <w:kern w:val="0"/>
              <w:sz w:val="28"/>
              <w:szCs w:val="28"/>
              <w:lang w:val="en-US" w:eastAsia="en-US" w:bidi="ar-SA"/>
            </w:rPr>
            <w:fldChar w:fldCharType="end"/>
          </w:r>
          <w:r>
            <w:rPr>
              <w:rFonts w:hint="eastAsia" w:ascii="黑体" w:hAnsi="黑体" w:eastAsia="黑体" w:cs="黑体"/>
              <w:snapToGrid w:val="0"/>
              <w:color w:val="000000"/>
              <w:kern w:val="0"/>
              <w:sz w:val="28"/>
              <w:szCs w:val="28"/>
              <w:lang w:val="en-US" w:eastAsia="zh-CN" w:bidi="ar-SA"/>
            </w:rPr>
            <w:t>2</w:t>
          </w:r>
        </w:p>
        <w:p w14:paraId="11301345">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_Toc7575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6-1</w:t>
          </w:r>
          <w:r>
            <w:rPr>
              <w:rFonts w:hint="eastAsia" w:ascii="黑体" w:hAnsi="黑体" w:eastAsia="黑体" w:cs="黑体"/>
              <w:bCs w:val="0"/>
              <w:sz w:val="28"/>
              <w:szCs w:val="28"/>
              <w:lang w:eastAsia="zh-CN"/>
            </w:rPr>
            <w:t>职业教育前途广阔、大有可为</w:t>
          </w:r>
          <w:r>
            <w:rPr>
              <w:rFonts w:hint="eastAsia" w:ascii="黑体" w:hAnsi="黑体" w:eastAsia="黑体" w:cs="黑体"/>
              <w:sz w:val="28"/>
              <w:szCs w:val="28"/>
            </w:rPr>
            <w:tab/>
          </w:r>
          <w:r>
            <w:rPr>
              <w:rFonts w:hint="eastAsia" w:ascii="黑体" w:hAnsi="黑体" w:eastAsia="黑体" w:cs="黑体"/>
              <w:sz w:val="28"/>
              <w:szCs w:val="28"/>
              <w:lang w:val="en-US" w:eastAsia="zh-CN"/>
            </w:rPr>
            <w:t>3</w:t>
          </w:r>
          <w:r>
            <w:rPr>
              <w:rFonts w:hint="eastAsia" w:ascii="黑体" w:hAnsi="黑体" w:eastAsia="黑体" w:cs="黑体"/>
              <w:snapToGrid w:val="0"/>
              <w:color w:val="000000"/>
              <w:kern w:val="0"/>
              <w:sz w:val="28"/>
              <w:szCs w:val="28"/>
              <w:lang w:val="en-US" w:eastAsia="en-US" w:bidi="ar-SA"/>
            </w:rPr>
            <w:fldChar w:fldCharType="end"/>
          </w:r>
          <w:r>
            <w:rPr>
              <w:rFonts w:hint="eastAsia" w:ascii="黑体" w:hAnsi="黑体" w:eastAsia="黑体" w:cs="黑体"/>
              <w:snapToGrid w:val="0"/>
              <w:color w:val="000000"/>
              <w:kern w:val="0"/>
              <w:sz w:val="28"/>
              <w:szCs w:val="28"/>
              <w:lang w:val="en-US" w:eastAsia="zh-CN" w:bidi="ar-SA"/>
            </w:rPr>
            <w:t>5</w:t>
          </w:r>
        </w:p>
        <w:p w14:paraId="03D76949">
          <w:pPr>
            <w:pStyle w:val="23"/>
            <w:keepNext w:val="0"/>
            <w:keepLines w:val="0"/>
            <w:pageBreakBefore w:val="0"/>
            <w:widowControl/>
            <w:tabs>
              <w:tab w:val="right" w:leader="dot" w:pos="8336"/>
            </w:tabs>
            <w:kinsoku/>
            <w:wordWrap/>
            <w:overflowPunct/>
            <w:topLinePunct w:val="0"/>
            <w:autoSpaceDE/>
            <w:autoSpaceDN/>
            <w:bidi w:val="0"/>
            <w:adjustRightInd/>
            <w:snapToGrid/>
            <w:spacing w:line="360" w:lineRule="auto"/>
            <w:ind w:leftChars="0"/>
            <w:textAlignment w:val="auto"/>
          </w:pPr>
          <w:r>
            <w:rPr>
              <w:rFonts w:hint="eastAsia" w:ascii="黑体" w:hAnsi="黑体" w:eastAsia="黑体" w:cs="黑体"/>
              <w:snapToGrid w:val="0"/>
              <w:color w:val="000000"/>
              <w:kern w:val="0"/>
              <w:sz w:val="28"/>
              <w:szCs w:val="28"/>
              <w:lang w:val="en-US" w:eastAsia="en-US" w:bidi="ar-SA"/>
            </w:rPr>
            <w:fldChar w:fldCharType="begin"/>
          </w:r>
          <w:r>
            <w:rPr>
              <w:rFonts w:hint="eastAsia" w:ascii="黑体" w:hAnsi="黑体" w:eastAsia="黑体" w:cs="黑体"/>
              <w:snapToGrid w:val="0"/>
              <w:kern w:val="0"/>
              <w:sz w:val="28"/>
              <w:szCs w:val="28"/>
              <w:lang w:val="en-US" w:eastAsia="en-US" w:bidi="ar-SA"/>
            </w:rPr>
            <w:instrText xml:space="preserve"> HYPERLINK \l _Toc12528 </w:instrText>
          </w:r>
          <w:r>
            <w:rPr>
              <w:rFonts w:hint="eastAsia" w:ascii="黑体" w:hAnsi="黑体" w:eastAsia="黑体" w:cs="黑体"/>
              <w:snapToGrid w:val="0"/>
              <w:kern w:val="0"/>
              <w:sz w:val="28"/>
              <w:szCs w:val="28"/>
              <w:lang w:val="en-US" w:eastAsia="en-US" w:bidi="ar-SA"/>
            </w:rPr>
            <w:fldChar w:fldCharType="separate"/>
          </w:r>
          <w:r>
            <w:rPr>
              <w:rFonts w:hint="eastAsia" w:ascii="黑体" w:hAnsi="黑体" w:eastAsia="黑体" w:cs="黑体"/>
              <w:bCs w:val="0"/>
              <w:sz w:val="28"/>
              <w:szCs w:val="28"/>
              <w:lang w:eastAsia="zh-CN"/>
            </w:rPr>
            <w:t>图</w:t>
          </w:r>
          <w:r>
            <w:rPr>
              <w:rFonts w:hint="eastAsia" w:ascii="黑体" w:hAnsi="黑体" w:eastAsia="黑体" w:cs="黑体"/>
              <w:bCs w:val="0"/>
              <w:sz w:val="28"/>
              <w:szCs w:val="28"/>
              <w:lang w:val="en-US" w:eastAsia="zh-CN"/>
            </w:rPr>
            <w:t>7-1运动训练</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_Toc12528 \h </w:instrText>
          </w:r>
          <w:r>
            <w:rPr>
              <w:rFonts w:hint="eastAsia" w:ascii="黑体" w:hAnsi="黑体" w:eastAsia="黑体" w:cs="黑体"/>
              <w:sz w:val="28"/>
              <w:szCs w:val="28"/>
            </w:rPr>
            <w:fldChar w:fldCharType="separate"/>
          </w:r>
          <w:r>
            <w:rPr>
              <w:rFonts w:hint="eastAsia" w:ascii="黑体" w:hAnsi="黑体" w:eastAsia="黑体" w:cs="黑体"/>
              <w:sz w:val="28"/>
              <w:szCs w:val="28"/>
            </w:rPr>
            <w:t>4</w:t>
          </w:r>
          <w:r>
            <w:rPr>
              <w:rFonts w:hint="eastAsia" w:ascii="黑体" w:hAnsi="黑体" w:eastAsia="黑体" w:cs="黑体"/>
              <w:sz w:val="28"/>
              <w:szCs w:val="28"/>
              <w:lang w:val="en-US" w:eastAsia="zh-CN"/>
            </w:rPr>
            <w:t>2</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28"/>
              <w:lang w:val="en-US" w:eastAsia="en-US" w:bidi="ar-SA"/>
            </w:rPr>
            <w:fldChar w:fldCharType="end"/>
          </w:r>
        </w:p>
        <w:p w14:paraId="7D49700B">
          <w:pPr>
            <w:pStyle w:val="21"/>
            <w:keepNext w:val="0"/>
            <w:keepLines w:val="0"/>
            <w:pageBreakBefore w:val="0"/>
            <w:widowControl/>
            <w:tabs>
              <w:tab w:val="right" w:leader="dot" w:pos="8336"/>
            </w:tabs>
            <w:kinsoku/>
            <w:wordWrap/>
            <w:overflowPunct/>
            <w:topLinePunct w:val="0"/>
            <w:autoSpaceDE/>
            <w:autoSpaceDN/>
            <w:bidi w:val="0"/>
            <w:adjustRightInd/>
            <w:snapToGrid/>
            <w:ind w:leftChars="0"/>
            <w:textAlignment w:val="auto"/>
          </w:pPr>
        </w:p>
        <w:p w14:paraId="1809DE0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rPr>
              <w:rFonts w:ascii="仿宋" w:hAnsi="仿宋" w:eastAsia="仿宋" w:cs="仿宋"/>
              <w:snapToGrid w:val="0"/>
              <w:color w:val="000000"/>
              <w:kern w:val="0"/>
              <w:sz w:val="21"/>
              <w:szCs w:val="35"/>
              <w:lang w:val="en-US" w:eastAsia="en-US" w:bidi="ar-SA"/>
            </w:rPr>
          </w:pPr>
          <w:r>
            <w:rPr>
              <w:rFonts w:ascii="仿宋" w:hAnsi="仿宋" w:eastAsia="仿宋" w:cs="仿宋"/>
              <w:snapToGrid w:val="0"/>
              <w:color w:val="000000"/>
              <w:kern w:val="0"/>
              <w:szCs w:val="35"/>
              <w:lang w:val="en-US" w:eastAsia="en-US" w:bidi="ar-SA"/>
            </w:rPr>
            <w:fldChar w:fldCharType="end"/>
          </w:r>
        </w:p>
      </w:sdtContent>
    </w:sdt>
    <w:p w14:paraId="2686A55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rPr>
          <w:rFonts w:ascii="仿宋" w:hAnsi="仿宋" w:eastAsia="仿宋" w:cs="仿宋"/>
          <w:snapToGrid w:val="0"/>
          <w:color w:val="000000"/>
          <w:kern w:val="0"/>
          <w:sz w:val="21"/>
          <w:szCs w:val="35"/>
          <w:lang w:val="en-US" w:eastAsia="en-US" w:bidi="ar-SA"/>
        </w:rPr>
        <w:sectPr>
          <w:footerReference r:id="rId6" w:type="default"/>
          <w:pgSz w:w="11906" w:h="16839"/>
          <w:pgMar w:top="1422" w:right="1785" w:bottom="1152" w:left="1785" w:header="0" w:footer="978" w:gutter="0"/>
          <w:pgNumType w:fmt="upperRoman" w:start="1"/>
          <w:cols w:space="720" w:num="1"/>
        </w:sectPr>
      </w:pPr>
    </w:p>
    <w:sdt>
      <w:sdtPr>
        <w:rPr>
          <w:rFonts w:ascii="宋体" w:hAnsi="宋体" w:eastAsia="宋体" w:cs="Arial"/>
          <w:snapToGrid w:val="0"/>
          <w:color w:val="000000"/>
          <w:kern w:val="0"/>
          <w:sz w:val="21"/>
          <w:szCs w:val="21"/>
          <w:lang w:val="en-US" w:eastAsia="en-US" w:bidi="ar-SA"/>
        </w:rPr>
        <w:id w:val="147463525"/>
        <w15:color w:val="DBDBDB"/>
        <w:docPartObj>
          <w:docPartGallery w:val="Table of Contents"/>
          <w:docPartUnique/>
        </w:docPartObj>
      </w:sdtPr>
      <w:sdtEndPr>
        <w:rPr>
          <w:rFonts w:ascii="仿宋" w:hAnsi="仿宋" w:eastAsia="仿宋" w:cs="仿宋"/>
          <w:snapToGrid w:val="0"/>
          <w:color w:val="000000"/>
          <w:kern w:val="0"/>
          <w:sz w:val="21"/>
          <w:szCs w:val="35"/>
          <w:lang w:val="en-US" w:eastAsia="en-US" w:bidi="ar-SA"/>
        </w:rPr>
      </w:sdtEndPr>
      <w:sdtContent>
        <w:p w14:paraId="4B6A8B1D">
          <w:pPr>
            <w:keepNext w:val="0"/>
            <w:keepLines w:val="0"/>
            <w:pageBreakBefore w:val="0"/>
            <w:widowControl/>
            <w:kinsoku w:val="0"/>
            <w:wordWrap/>
            <w:overflowPunct/>
            <w:topLinePunct w:val="0"/>
            <w:autoSpaceDE w:val="0"/>
            <w:autoSpaceDN w:val="0"/>
            <w:bidi w:val="0"/>
            <w:adjustRightInd w:val="0"/>
            <w:snapToGrid w:val="0"/>
            <w:spacing w:beforeAutospacing="0" w:after="0" w:afterAutospacing="0" w:line="360" w:lineRule="auto"/>
            <w:ind w:left="0" w:leftChars="0" w:right="0" w:rightChars="0" w:firstLine="0" w:firstLineChars="0"/>
            <w:jc w:val="center"/>
            <w:textAlignment w:val="baseline"/>
            <w:rPr>
              <w:b/>
              <w:bCs/>
              <w:sz w:val="28"/>
              <w:szCs w:val="28"/>
            </w:rPr>
          </w:pPr>
          <w:r>
            <w:rPr>
              <w:rFonts w:hint="eastAsia" w:ascii="黑体" w:hAnsi="黑体" w:eastAsia="黑体" w:cs="黑体"/>
              <w:b/>
              <w:bCs/>
              <w:snapToGrid w:val="0"/>
              <w:color w:val="000000"/>
              <w:kern w:val="0"/>
              <w:sz w:val="44"/>
              <w:szCs w:val="44"/>
              <w:lang w:val="en-US" w:eastAsia="zh-CN" w:bidi="ar-SA"/>
            </w:rPr>
            <w:t>表</w:t>
          </w:r>
          <w:r>
            <w:rPr>
              <w:rFonts w:hint="eastAsia" w:ascii="黑体" w:hAnsi="黑体" w:eastAsia="黑体" w:cs="黑体"/>
              <w:b/>
              <w:bCs/>
              <w:sz w:val="44"/>
              <w:szCs w:val="44"/>
            </w:rPr>
            <w:t>目录</w:t>
          </w:r>
        </w:p>
        <w:p w14:paraId="4AD002D5">
          <w:pPr>
            <w:pStyle w:val="7"/>
            <w:tabs>
              <w:tab w:val="right" w:leader="dot" w:pos="8336"/>
            </w:tabs>
          </w:pPr>
          <w:r>
            <w:rPr>
              <w:rFonts w:ascii="仿宋" w:hAnsi="仿宋" w:eastAsia="仿宋" w:cs="仿宋"/>
              <w:snapToGrid w:val="0"/>
              <w:color w:val="000000"/>
              <w:kern w:val="0"/>
              <w:sz w:val="21"/>
              <w:szCs w:val="35"/>
              <w:lang w:val="en-US" w:eastAsia="en-US" w:bidi="ar-SA"/>
            </w:rPr>
            <w:fldChar w:fldCharType="begin"/>
          </w:r>
          <w:r>
            <w:rPr>
              <w:rFonts w:ascii="仿宋" w:hAnsi="仿宋" w:eastAsia="仿宋" w:cs="仿宋"/>
              <w:snapToGrid w:val="0"/>
              <w:color w:val="000000"/>
              <w:kern w:val="0"/>
              <w:sz w:val="21"/>
              <w:szCs w:val="35"/>
              <w:lang w:val="en-US" w:eastAsia="en-US" w:bidi="ar-SA"/>
            </w:rPr>
            <w:instrText xml:space="preserve">TOC \o "1-3" \h \u </w:instrText>
          </w:r>
          <w:r>
            <w:rPr>
              <w:rFonts w:ascii="仿宋" w:hAnsi="仿宋" w:eastAsia="仿宋" w:cs="仿宋"/>
              <w:snapToGrid w:val="0"/>
              <w:color w:val="000000"/>
              <w:kern w:val="0"/>
              <w:sz w:val="21"/>
              <w:szCs w:val="35"/>
              <w:lang w:val="en-US" w:eastAsia="en-US" w:bidi="ar-SA"/>
            </w:rPr>
            <w:fldChar w:fldCharType="separate"/>
          </w:r>
        </w:p>
        <w:p w14:paraId="5EAB5978">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_Toc15617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bCs w:val="0"/>
              <w:spacing w:val="8"/>
              <w:sz w:val="28"/>
              <w:szCs w:val="36"/>
            </w:rPr>
            <w:t>表</w:t>
          </w:r>
          <w:r>
            <w:rPr>
              <w:rFonts w:hint="eastAsia" w:ascii="黑体" w:hAnsi="黑体" w:eastAsia="黑体" w:cs="黑体"/>
              <w:bCs w:val="0"/>
              <w:spacing w:val="8"/>
              <w:sz w:val="28"/>
              <w:szCs w:val="36"/>
              <w:lang w:val="en-US" w:eastAsia="zh-CN"/>
            </w:rPr>
            <w:t>2-1</w:t>
          </w:r>
          <w:r>
            <w:rPr>
              <w:rFonts w:hint="eastAsia" w:ascii="黑体" w:hAnsi="黑体" w:eastAsia="黑体" w:cs="黑体"/>
              <w:bCs w:val="0"/>
              <w:spacing w:val="8"/>
              <w:sz w:val="28"/>
              <w:szCs w:val="36"/>
            </w:rPr>
            <w:t>学校中等职业教育专业设置一览表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_Toc15617 \h </w:instrText>
          </w:r>
          <w:r>
            <w:rPr>
              <w:rFonts w:hint="eastAsia" w:ascii="黑体" w:hAnsi="黑体" w:eastAsia="黑体" w:cs="黑体"/>
              <w:sz w:val="28"/>
              <w:szCs w:val="28"/>
            </w:rPr>
            <w:fldChar w:fldCharType="separate"/>
          </w:r>
          <w:r>
            <w:rPr>
              <w:rFonts w:hint="eastAsia" w:ascii="黑体" w:hAnsi="黑体" w:eastAsia="黑体" w:cs="黑体"/>
              <w:sz w:val="28"/>
              <w:szCs w:val="28"/>
            </w:rPr>
            <w:t>18</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22727CB4">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_Toc4112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bCs w:val="0"/>
              <w:sz w:val="28"/>
              <w:szCs w:val="36"/>
              <w:lang w:eastAsia="zh-CN"/>
            </w:rPr>
            <w:t>表</w:t>
          </w:r>
          <w:r>
            <w:rPr>
              <w:rFonts w:hint="eastAsia" w:ascii="黑体" w:hAnsi="黑体" w:eastAsia="黑体" w:cs="黑体"/>
              <w:bCs w:val="0"/>
              <w:sz w:val="28"/>
              <w:szCs w:val="36"/>
              <w:lang w:val="en-US" w:eastAsia="zh-CN"/>
            </w:rPr>
            <w:t>2-2</w:t>
          </w:r>
          <w:r>
            <w:rPr>
              <w:rFonts w:hint="eastAsia" w:ascii="黑体" w:hAnsi="黑体" w:eastAsia="黑体" w:cs="黑体"/>
              <w:bCs w:val="0"/>
              <w:sz w:val="28"/>
              <w:szCs w:val="36"/>
              <w:lang w:eastAsia="zh-CN"/>
            </w:rPr>
            <w:t>学生满意度分析表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_Toc4112 \h </w:instrText>
          </w:r>
          <w:r>
            <w:rPr>
              <w:rFonts w:hint="eastAsia" w:ascii="黑体" w:hAnsi="黑体" w:eastAsia="黑体" w:cs="黑体"/>
              <w:sz w:val="28"/>
              <w:szCs w:val="28"/>
            </w:rPr>
            <w:fldChar w:fldCharType="separate"/>
          </w:r>
          <w:r>
            <w:rPr>
              <w:rFonts w:hint="eastAsia" w:ascii="黑体" w:hAnsi="黑体" w:eastAsia="黑体" w:cs="黑体"/>
              <w:sz w:val="28"/>
              <w:szCs w:val="28"/>
            </w:rPr>
            <w:t>19</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4423A1EC">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_Toc12563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bCs w:val="0"/>
              <w:sz w:val="28"/>
              <w:szCs w:val="36"/>
              <w:lang w:eastAsia="zh-CN"/>
            </w:rPr>
            <w:t>表</w:t>
          </w:r>
          <w:r>
            <w:rPr>
              <w:rFonts w:hint="eastAsia" w:ascii="黑体" w:hAnsi="黑体" w:eastAsia="黑体" w:cs="黑体"/>
              <w:bCs w:val="0"/>
              <w:sz w:val="28"/>
              <w:szCs w:val="36"/>
              <w:lang w:val="en-US" w:eastAsia="zh-CN"/>
            </w:rPr>
            <w:t>2-3</w:t>
          </w:r>
          <w:r>
            <w:rPr>
              <w:rFonts w:hint="eastAsia" w:ascii="黑体" w:hAnsi="黑体" w:eastAsia="黑体" w:cs="黑体"/>
              <w:bCs w:val="0"/>
              <w:sz w:val="28"/>
              <w:szCs w:val="36"/>
              <w:lang w:eastAsia="zh-CN"/>
            </w:rPr>
            <w:t>学生对餐厅整体评价意见</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_Toc12563 \h </w:instrText>
          </w:r>
          <w:r>
            <w:rPr>
              <w:rFonts w:hint="eastAsia" w:ascii="黑体" w:hAnsi="黑体" w:eastAsia="黑体" w:cs="黑体"/>
              <w:sz w:val="28"/>
              <w:szCs w:val="28"/>
            </w:rPr>
            <w:fldChar w:fldCharType="separate"/>
          </w:r>
          <w:r>
            <w:rPr>
              <w:rFonts w:hint="eastAsia" w:ascii="黑体" w:hAnsi="黑体" w:eastAsia="黑体" w:cs="黑体"/>
              <w:sz w:val="28"/>
              <w:szCs w:val="28"/>
            </w:rPr>
            <w:t>20</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32B2327F">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_Toc11381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bCs w:val="0"/>
              <w:sz w:val="28"/>
              <w:szCs w:val="36"/>
              <w:lang w:eastAsia="zh-CN"/>
            </w:rPr>
            <w:t>表</w:t>
          </w:r>
          <w:r>
            <w:rPr>
              <w:rFonts w:hint="eastAsia" w:ascii="黑体" w:hAnsi="黑体" w:eastAsia="黑体" w:cs="黑体"/>
              <w:bCs w:val="0"/>
              <w:sz w:val="28"/>
              <w:szCs w:val="36"/>
              <w:lang w:val="en-US" w:eastAsia="zh-CN"/>
            </w:rPr>
            <w:t>2-4</w:t>
          </w:r>
          <w:r>
            <w:rPr>
              <w:rFonts w:hint="eastAsia" w:ascii="黑体" w:hAnsi="黑体" w:eastAsia="黑体" w:cs="黑体"/>
              <w:bCs w:val="0"/>
              <w:sz w:val="28"/>
              <w:szCs w:val="36"/>
              <w:lang w:eastAsia="zh-CN"/>
            </w:rPr>
            <w:t>满意度调查表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_Toc11381 \h </w:instrText>
          </w:r>
          <w:r>
            <w:rPr>
              <w:rFonts w:hint="eastAsia" w:ascii="黑体" w:hAnsi="黑体" w:eastAsia="黑体" w:cs="黑体"/>
              <w:sz w:val="28"/>
              <w:szCs w:val="28"/>
            </w:rPr>
            <w:fldChar w:fldCharType="separate"/>
          </w:r>
          <w:r>
            <w:rPr>
              <w:rFonts w:hint="eastAsia" w:ascii="黑体" w:hAnsi="黑体" w:eastAsia="黑体" w:cs="黑体"/>
              <w:sz w:val="28"/>
              <w:szCs w:val="28"/>
            </w:rPr>
            <w:t>21</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06D91F3E">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_Toc23372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bCs w:val="0"/>
              <w:sz w:val="28"/>
              <w:szCs w:val="36"/>
              <w:lang w:eastAsia="zh-CN"/>
            </w:rPr>
            <w:t>表</w:t>
          </w:r>
          <w:r>
            <w:rPr>
              <w:rFonts w:hint="eastAsia" w:ascii="黑体" w:hAnsi="黑体" w:eastAsia="黑体" w:cs="黑体"/>
              <w:bCs w:val="0"/>
              <w:sz w:val="28"/>
              <w:szCs w:val="36"/>
              <w:lang w:val="en-US" w:eastAsia="zh-CN"/>
            </w:rPr>
            <w:t>3-1</w:t>
          </w:r>
          <w:r>
            <w:rPr>
              <w:rFonts w:hint="eastAsia" w:ascii="黑体" w:hAnsi="黑体" w:eastAsia="黑体" w:cs="黑体"/>
              <w:bCs w:val="0"/>
              <w:sz w:val="28"/>
              <w:szCs w:val="36"/>
              <w:lang w:eastAsia="zh-CN"/>
            </w:rPr>
            <w:t>毕业生情况一览表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_Toc23372 \h </w:instrText>
          </w:r>
          <w:r>
            <w:rPr>
              <w:rFonts w:hint="eastAsia" w:ascii="黑体" w:hAnsi="黑体" w:eastAsia="黑体" w:cs="黑体"/>
              <w:sz w:val="28"/>
              <w:szCs w:val="28"/>
            </w:rPr>
            <w:fldChar w:fldCharType="separate"/>
          </w:r>
          <w:r>
            <w:rPr>
              <w:rFonts w:hint="eastAsia" w:ascii="黑体" w:hAnsi="黑体" w:eastAsia="黑体" w:cs="黑体"/>
              <w:sz w:val="28"/>
              <w:szCs w:val="28"/>
            </w:rPr>
            <w:t>22</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410BFBD7">
          <w:pPr>
            <w:pStyle w:val="10"/>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p>
        <w:p w14:paraId="46B5BA4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jc w:val="center"/>
            <w:textAlignment w:val="baseline"/>
            <w:rPr>
              <w:rFonts w:ascii="仿宋" w:hAnsi="仿宋" w:eastAsia="仿宋" w:cs="仿宋"/>
              <w:snapToGrid w:val="0"/>
              <w:color w:val="000000"/>
              <w:kern w:val="0"/>
              <w:sz w:val="21"/>
              <w:szCs w:val="35"/>
              <w:lang w:val="en-US" w:eastAsia="en-US" w:bidi="ar-SA"/>
            </w:rPr>
          </w:pPr>
          <w:r>
            <w:rPr>
              <w:rFonts w:ascii="仿宋" w:hAnsi="仿宋" w:eastAsia="仿宋" w:cs="仿宋"/>
              <w:snapToGrid w:val="0"/>
              <w:color w:val="000000"/>
              <w:kern w:val="0"/>
              <w:szCs w:val="35"/>
              <w:lang w:val="en-US" w:eastAsia="en-US" w:bidi="ar-SA"/>
            </w:rPr>
            <w:fldChar w:fldCharType="end"/>
          </w:r>
        </w:p>
      </w:sdtContent>
    </w:sdt>
    <w:p w14:paraId="32EC74FA">
      <w:pPr>
        <w:keepNext w:val="0"/>
        <w:keepLines w:val="0"/>
        <w:pageBreakBefore w:val="0"/>
        <w:widowControl/>
        <w:kinsoku w:val="0"/>
        <w:wordWrap/>
        <w:overflowPunct/>
        <w:topLinePunct w:val="0"/>
        <w:autoSpaceDE w:val="0"/>
        <w:autoSpaceDN w:val="0"/>
        <w:bidi w:val="0"/>
        <w:adjustRightInd w:val="0"/>
        <w:snapToGrid w:val="0"/>
        <w:spacing w:beforeAutospacing="0" w:after="0" w:afterAutospacing="0" w:line="360" w:lineRule="auto"/>
        <w:ind w:left="0" w:leftChars="0" w:right="0" w:rightChars="0" w:firstLine="0" w:firstLineChars="0"/>
        <w:jc w:val="center"/>
        <w:textAlignment w:val="baseline"/>
        <w:rPr>
          <w:rFonts w:ascii="仿宋" w:hAnsi="仿宋" w:eastAsia="仿宋" w:cs="仿宋"/>
          <w:szCs w:val="35"/>
        </w:rPr>
      </w:pPr>
    </w:p>
    <w:sdt>
      <w:sdtPr>
        <w:rPr>
          <w:rFonts w:ascii="宋体" w:hAnsi="宋体" w:eastAsia="宋体" w:cs="Arial"/>
          <w:snapToGrid w:val="0"/>
          <w:color w:val="000000"/>
          <w:kern w:val="0"/>
          <w:sz w:val="21"/>
          <w:szCs w:val="21"/>
          <w:lang w:val="en-US" w:eastAsia="en-US" w:bidi="ar-SA"/>
        </w:rPr>
        <w:id w:val="147460513"/>
        <w:showingPlcHdr/>
        <w15:color w:val="DBDBDB"/>
        <w:docPartObj>
          <w:docPartGallery w:val="Table of Contents"/>
          <w:docPartUnique/>
        </w:docPartObj>
      </w:sdtPr>
      <w:sdtEndPr>
        <w:rPr>
          <w:rFonts w:ascii="仿宋" w:hAnsi="仿宋" w:eastAsia="仿宋" w:cs="仿宋"/>
          <w:snapToGrid w:val="0"/>
          <w:color w:val="000000"/>
          <w:kern w:val="0"/>
          <w:sz w:val="21"/>
          <w:szCs w:val="35"/>
          <w:lang w:val="en-US" w:eastAsia="en-US" w:bidi="ar-SA"/>
        </w:rPr>
      </w:sdtEndPr>
      <w:sdtContent>
        <w:p w14:paraId="0A6ECAA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textAlignment w:val="baseline"/>
            <w:rPr>
              <w:rFonts w:hint="eastAsia" w:ascii="黑体" w:hAnsi="黑体" w:eastAsia="黑体" w:cs="黑体"/>
              <w:spacing w:val="4"/>
              <w:sz w:val="44"/>
              <w:szCs w:val="44"/>
            </w:rPr>
          </w:pPr>
          <w:r>
            <w:rPr>
              <w:rFonts w:hint="eastAsia" w:ascii="宋体" w:hAnsi="宋体" w:eastAsia="宋体" w:cs="Arial"/>
              <w:snapToGrid w:val="0"/>
              <w:color w:val="000000"/>
              <w:kern w:val="0"/>
              <w:sz w:val="21"/>
              <w:szCs w:val="21"/>
              <w:lang w:val="en-US" w:eastAsia="zh-CN" w:bidi="ar-SA"/>
            </w:rPr>
            <w:t xml:space="preserve">     </w:t>
          </w:r>
        </w:p>
      </w:sdtContent>
    </w:sdt>
    <w:p w14:paraId="3F77F2E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96" w:firstLineChars="200"/>
        <w:jc w:val="center"/>
        <w:textAlignment w:val="baseline"/>
        <w:rPr>
          <w:rFonts w:hint="eastAsia" w:ascii="黑体" w:hAnsi="黑体" w:eastAsia="黑体" w:cs="黑体"/>
          <w:spacing w:val="4"/>
          <w:sz w:val="44"/>
          <w:szCs w:val="44"/>
        </w:rPr>
      </w:pPr>
    </w:p>
    <w:p w14:paraId="7B99811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96" w:firstLineChars="200"/>
        <w:jc w:val="center"/>
        <w:textAlignment w:val="baseline"/>
        <w:rPr>
          <w:rFonts w:hint="eastAsia" w:ascii="黑体" w:hAnsi="黑体" w:eastAsia="黑体" w:cs="黑体"/>
          <w:spacing w:val="4"/>
          <w:sz w:val="44"/>
          <w:szCs w:val="44"/>
        </w:rPr>
      </w:pPr>
    </w:p>
    <w:p w14:paraId="61A970C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96" w:firstLineChars="200"/>
        <w:jc w:val="center"/>
        <w:textAlignment w:val="baseline"/>
        <w:rPr>
          <w:rFonts w:hint="eastAsia" w:ascii="黑体" w:hAnsi="黑体" w:eastAsia="黑体" w:cs="黑体"/>
          <w:spacing w:val="4"/>
          <w:sz w:val="44"/>
          <w:szCs w:val="44"/>
        </w:rPr>
      </w:pPr>
    </w:p>
    <w:p w14:paraId="0E10595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96" w:firstLineChars="200"/>
        <w:jc w:val="center"/>
        <w:textAlignment w:val="baseline"/>
        <w:rPr>
          <w:rFonts w:hint="eastAsia" w:ascii="黑体" w:hAnsi="黑体" w:eastAsia="黑体" w:cs="黑体"/>
          <w:spacing w:val="4"/>
          <w:sz w:val="44"/>
          <w:szCs w:val="44"/>
        </w:rPr>
      </w:pPr>
    </w:p>
    <w:p w14:paraId="71AE7F2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96" w:firstLineChars="200"/>
        <w:jc w:val="center"/>
        <w:textAlignment w:val="baseline"/>
        <w:rPr>
          <w:rFonts w:hint="eastAsia" w:ascii="黑体" w:hAnsi="黑体" w:eastAsia="黑体" w:cs="黑体"/>
          <w:spacing w:val="4"/>
          <w:sz w:val="44"/>
          <w:szCs w:val="44"/>
        </w:rPr>
      </w:pPr>
    </w:p>
    <w:p w14:paraId="2C503CF4">
      <w:pPr>
        <w:rPr>
          <w:rFonts w:hint="eastAsia" w:ascii="黑体" w:hAnsi="黑体" w:eastAsia="黑体" w:cs="黑体"/>
          <w:spacing w:val="4"/>
          <w:sz w:val="44"/>
          <w:szCs w:val="44"/>
        </w:rPr>
      </w:pPr>
      <w:r>
        <w:rPr>
          <w:rFonts w:hint="eastAsia" w:ascii="黑体" w:hAnsi="黑体" w:eastAsia="黑体" w:cs="黑体"/>
          <w:spacing w:val="4"/>
          <w:sz w:val="44"/>
          <w:szCs w:val="44"/>
        </w:rPr>
        <w:br w:type="page"/>
      </w:r>
    </w:p>
    <w:p w14:paraId="2D15C6A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96" w:firstLineChars="200"/>
        <w:jc w:val="center"/>
        <w:textAlignment w:val="baseline"/>
      </w:pPr>
      <w:r>
        <w:rPr>
          <w:rFonts w:hint="eastAsia" w:ascii="黑体" w:hAnsi="黑体" w:eastAsia="黑体" w:cs="黑体"/>
          <w:spacing w:val="4"/>
          <w:sz w:val="44"/>
          <w:szCs w:val="44"/>
        </w:rPr>
        <w:t>案例目录</w:t>
      </w:r>
    </w:p>
    <w:sdt>
      <w:sdtPr>
        <w:rPr>
          <w:rFonts w:ascii="宋体" w:hAnsi="宋体" w:eastAsia="宋体" w:cs="Arial"/>
          <w:snapToGrid w:val="0"/>
          <w:color w:val="000000"/>
          <w:kern w:val="0"/>
          <w:sz w:val="21"/>
          <w:szCs w:val="21"/>
          <w:lang w:val="en-US" w:eastAsia="en-US" w:bidi="ar-SA"/>
        </w:rPr>
        <w:id w:val="147455786"/>
        <w15:color w:val="DBDBDB"/>
        <w:docPartObj>
          <w:docPartGallery w:val="Table of Contents"/>
          <w:docPartUnique/>
        </w:docPartObj>
      </w:sdtPr>
      <w:sdtEndPr>
        <w:rPr>
          <w:rFonts w:hint="eastAsia" w:ascii="黑体" w:hAnsi="黑体" w:eastAsia="黑体" w:cs="黑体"/>
          <w:snapToGrid w:val="0"/>
          <w:color w:val="000000"/>
          <w:kern w:val="0"/>
          <w:sz w:val="28"/>
          <w:szCs w:val="44"/>
          <w:lang w:val="en-US" w:eastAsia="en-US" w:bidi="ar-SA"/>
        </w:rPr>
      </w:sdtEndPr>
      <w:sdtContent>
        <w:p w14:paraId="305F7E6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420" w:firstLineChars="200"/>
            <w:jc w:val="center"/>
            <w:textAlignment w:val="baseline"/>
            <w:rPr>
              <w:rFonts w:hint="eastAsia" w:ascii="仿宋_GB2312" w:hAnsi="仿宋_GB2312" w:eastAsia="仿宋_GB2312" w:cs="仿宋_GB2312"/>
              <w:b/>
              <w:bCs/>
              <w:sz w:val="28"/>
              <w:szCs w:val="28"/>
            </w:rPr>
          </w:pPr>
        </w:p>
        <w:p w14:paraId="4A473B8E">
          <w:pPr>
            <w:pStyle w:val="11"/>
            <w:tabs>
              <w:tab w:val="right" w:leader="dot" w:pos="8336"/>
            </w:tabs>
            <w:spacing w:line="360" w:lineRule="auto"/>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color w:val="000000"/>
              <w:kern w:val="0"/>
              <w:sz w:val="28"/>
              <w:szCs w:val="44"/>
              <w:lang w:val="en-US" w:eastAsia="en-US" w:bidi="ar-SA"/>
            </w:rPr>
            <w:instrText xml:space="preserve">TOC \o "1-3" \h \u </w:instrText>
          </w:r>
          <w:r>
            <w:rPr>
              <w:rFonts w:hint="eastAsia" w:ascii="黑体" w:hAnsi="黑体" w:eastAsia="黑体" w:cs="黑体"/>
              <w:snapToGrid w:val="0"/>
              <w:color w:val="000000"/>
              <w:kern w:val="0"/>
              <w:sz w:val="28"/>
              <w:szCs w:val="44"/>
              <w:lang w:val="en-US" w:eastAsia="en-US" w:bidi="ar-SA"/>
            </w:rPr>
            <w:fldChar w:fldCharType="separate"/>
          </w:r>
        </w:p>
        <w:p w14:paraId="3E03A7FF">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_Toc30185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rPr>
            <w:t>【案例1</w:t>
          </w:r>
          <w:r>
            <w:rPr>
              <w:rFonts w:hint="eastAsia" w:ascii="黑体" w:hAnsi="黑体" w:eastAsia="黑体" w:cs="黑体"/>
              <w:sz w:val="28"/>
              <w:szCs w:val="36"/>
              <w:lang w:eastAsia="zh-CN"/>
            </w:rPr>
            <w:t>】</w:t>
          </w:r>
          <w:r>
            <w:rPr>
              <w:rFonts w:hint="eastAsia" w:ascii="黑体" w:hAnsi="黑体" w:eastAsia="黑体" w:cs="黑体"/>
              <w:sz w:val="28"/>
              <w:szCs w:val="36"/>
            </w:rPr>
            <w:t>教学党支部</w:t>
          </w:r>
          <w:r>
            <w:rPr>
              <w:rFonts w:hint="eastAsia" w:ascii="黑体" w:hAnsi="黑体" w:eastAsia="黑体" w:cs="黑体"/>
              <w:sz w:val="28"/>
              <w:szCs w:val="36"/>
              <w:lang w:eastAsia="zh-CN"/>
            </w:rPr>
            <w:t>2025</w:t>
          </w:r>
          <w:r>
            <w:rPr>
              <w:rFonts w:hint="eastAsia" w:ascii="黑体" w:hAnsi="黑体" w:eastAsia="黑体" w:cs="黑体"/>
              <w:sz w:val="28"/>
              <w:szCs w:val="36"/>
            </w:rPr>
            <w:t>年工作总结</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_Toc30185 \h </w:instrText>
          </w:r>
          <w:r>
            <w:rPr>
              <w:rFonts w:hint="eastAsia" w:ascii="黑体" w:hAnsi="黑体" w:eastAsia="黑体" w:cs="黑体"/>
              <w:sz w:val="28"/>
              <w:szCs w:val="28"/>
            </w:rPr>
            <w:fldChar w:fldCharType="separate"/>
          </w:r>
          <w:r>
            <w:rPr>
              <w:rFonts w:hint="eastAsia" w:ascii="黑体" w:hAnsi="黑体" w:eastAsia="黑体" w:cs="黑体"/>
              <w:sz w:val="28"/>
              <w:szCs w:val="28"/>
            </w:rPr>
            <w:t>7</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40494774">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_Toc25805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rPr>
            <w:t>【案例2</w:t>
          </w:r>
          <w:r>
            <w:rPr>
              <w:rFonts w:hint="eastAsia" w:ascii="黑体" w:hAnsi="黑体" w:eastAsia="黑体" w:cs="黑体"/>
              <w:sz w:val="28"/>
              <w:szCs w:val="36"/>
              <w:lang w:eastAsia="zh-CN"/>
            </w:rPr>
            <w:t>】</w:t>
          </w:r>
          <w:r>
            <w:rPr>
              <w:rFonts w:hint="eastAsia" w:ascii="黑体" w:hAnsi="黑体" w:eastAsia="黑体" w:cs="黑体"/>
              <w:sz w:val="28"/>
              <w:szCs w:val="36"/>
            </w:rPr>
            <w:t>循党史足迹，筑信念根基，向党旗迈进</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_Toc25805 \h </w:instrText>
          </w:r>
          <w:r>
            <w:rPr>
              <w:rFonts w:hint="eastAsia" w:ascii="黑体" w:hAnsi="黑体" w:eastAsia="黑体" w:cs="黑体"/>
              <w:sz w:val="28"/>
              <w:szCs w:val="28"/>
            </w:rPr>
            <w:fldChar w:fldCharType="separate"/>
          </w:r>
          <w:r>
            <w:rPr>
              <w:rFonts w:hint="eastAsia" w:ascii="黑体" w:hAnsi="黑体" w:eastAsia="黑体" w:cs="黑体"/>
              <w:sz w:val="28"/>
              <w:szCs w:val="28"/>
            </w:rPr>
            <w:t>8</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478D4D02">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_Toc24723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rPr>
            <w:t>【案例</w:t>
          </w:r>
          <w:r>
            <w:rPr>
              <w:rFonts w:hint="eastAsia" w:ascii="黑体" w:hAnsi="黑体" w:eastAsia="黑体" w:cs="黑体"/>
              <w:sz w:val="28"/>
              <w:szCs w:val="36"/>
              <w:lang w:val="en-US" w:eastAsia="zh-CN"/>
            </w:rPr>
            <w:t>3</w:t>
          </w:r>
          <w:r>
            <w:rPr>
              <w:rFonts w:hint="eastAsia" w:ascii="黑体" w:hAnsi="黑体" w:eastAsia="黑体" w:cs="黑体"/>
              <w:sz w:val="28"/>
              <w:szCs w:val="36"/>
              <w:lang w:eastAsia="zh-CN"/>
            </w:rPr>
            <w:t>】</w:t>
          </w:r>
          <w:r>
            <w:rPr>
              <w:rFonts w:hint="eastAsia" w:ascii="黑体" w:hAnsi="黑体" w:eastAsia="黑体" w:cs="黑体"/>
              <w:sz w:val="28"/>
              <w:szCs w:val="36"/>
            </w:rPr>
            <w:t>一众炽热心灵，编织一段绮梦传奇</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_Toc24723 \h </w:instrText>
          </w:r>
          <w:r>
            <w:rPr>
              <w:rFonts w:hint="eastAsia" w:ascii="黑体" w:hAnsi="黑体" w:eastAsia="黑体" w:cs="黑体"/>
              <w:sz w:val="28"/>
              <w:szCs w:val="28"/>
            </w:rPr>
            <w:fldChar w:fldCharType="separate"/>
          </w:r>
          <w:r>
            <w:rPr>
              <w:rFonts w:hint="eastAsia" w:ascii="黑体" w:hAnsi="黑体" w:eastAsia="黑体" w:cs="黑体"/>
              <w:sz w:val="28"/>
              <w:szCs w:val="28"/>
            </w:rPr>
            <w:t>13</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04150259">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_Toc18518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rPr>
            <w:t>【案例</w:t>
          </w:r>
          <w:r>
            <w:rPr>
              <w:rFonts w:hint="eastAsia" w:ascii="黑体" w:hAnsi="黑体" w:eastAsia="黑体" w:cs="黑体"/>
              <w:sz w:val="28"/>
              <w:szCs w:val="36"/>
              <w:lang w:val="en-US" w:eastAsia="zh-CN"/>
            </w:rPr>
            <w:t>4</w:t>
          </w:r>
          <w:r>
            <w:rPr>
              <w:rFonts w:hint="eastAsia" w:ascii="黑体" w:hAnsi="黑体" w:eastAsia="黑体" w:cs="黑体"/>
              <w:sz w:val="28"/>
              <w:szCs w:val="36"/>
              <w:lang w:eastAsia="zh-CN"/>
            </w:rPr>
            <w:t>】</w:t>
          </w:r>
          <w:r>
            <w:rPr>
              <w:rFonts w:hint="eastAsia" w:ascii="黑体" w:hAnsi="黑体" w:eastAsia="黑体" w:cs="黑体"/>
              <w:sz w:val="28"/>
              <w:szCs w:val="36"/>
              <w:lang w:val="en-US" w:eastAsia="zh-CN"/>
            </w:rPr>
            <w:t>安全教育</w:t>
          </w:r>
          <w:r>
            <w:rPr>
              <w:rFonts w:hint="eastAsia" w:ascii="黑体" w:hAnsi="黑体" w:eastAsia="黑体" w:cs="黑体"/>
              <w:sz w:val="28"/>
              <w:szCs w:val="36"/>
            </w:rPr>
            <w:t>进校园——</w:t>
          </w:r>
          <w:r>
            <w:rPr>
              <w:rFonts w:hint="eastAsia" w:ascii="黑体" w:hAnsi="黑体" w:eastAsia="黑体" w:cs="黑体"/>
              <w:sz w:val="28"/>
              <w:szCs w:val="36"/>
              <w:lang w:val="en-US" w:eastAsia="zh-CN"/>
            </w:rPr>
            <w:t>安全</w:t>
          </w:r>
          <w:r>
            <w:rPr>
              <w:rFonts w:hint="eastAsia" w:ascii="黑体" w:hAnsi="黑体" w:eastAsia="黑体" w:cs="黑体"/>
              <w:sz w:val="28"/>
              <w:szCs w:val="36"/>
            </w:rPr>
            <w:t>宣传讲座</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_Toc18518 \h </w:instrText>
          </w:r>
          <w:r>
            <w:rPr>
              <w:rFonts w:hint="eastAsia" w:ascii="黑体" w:hAnsi="黑体" w:eastAsia="黑体" w:cs="黑体"/>
              <w:sz w:val="28"/>
              <w:szCs w:val="28"/>
            </w:rPr>
            <w:fldChar w:fldCharType="separate"/>
          </w:r>
          <w:r>
            <w:rPr>
              <w:rFonts w:hint="eastAsia" w:ascii="黑体" w:hAnsi="黑体" w:eastAsia="黑体" w:cs="黑体"/>
              <w:sz w:val="28"/>
              <w:szCs w:val="28"/>
            </w:rPr>
            <w:t>14</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2860FE59">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_Toc9950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rPr>
            <w:t>【案例</w:t>
          </w:r>
          <w:r>
            <w:rPr>
              <w:rFonts w:hint="eastAsia" w:ascii="黑体" w:hAnsi="黑体" w:eastAsia="黑体" w:cs="黑体"/>
              <w:sz w:val="28"/>
              <w:szCs w:val="36"/>
              <w:lang w:val="en-US" w:eastAsia="zh-CN"/>
            </w:rPr>
            <w:t>5</w:t>
          </w:r>
          <w:r>
            <w:rPr>
              <w:rFonts w:hint="eastAsia" w:ascii="黑体" w:hAnsi="黑体" w:eastAsia="黑体" w:cs="黑体"/>
              <w:sz w:val="28"/>
              <w:szCs w:val="36"/>
              <w:lang w:eastAsia="zh-CN"/>
            </w:rPr>
            <w:t>】</w:t>
          </w:r>
          <w:r>
            <w:rPr>
              <w:rFonts w:hint="eastAsia" w:ascii="黑体" w:hAnsi="黑体" w:eastAsia="黑体" w:cs="黑体"/>
              <w:sz w:val="28"/>
              <w:szCs w:val="36"/>
            </w:rPr>
            <w:t>缅怀革命先烈，传承红色基因</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_Toc9950 \h </w:instrText>
          </w:r>
          <w:r>
            <w:rPr>
              <w:rFonts w:hint="eastAsia" w:ascii="黑体" w:hAnsi="黑体" w:eastAsia="黑体" w:cs="黑体"/>
              <w:sz w:val="28"/>
              <w:szCs w:val="28"/>
            </w:rPr>
            <w:fldChar w:fldCharType="separate"/>
          </w:r>
          <w:r>
            <w:rPr>
              <w:rFonts w:hint="eastAsia" w:ascii="黑体" w:hAnsi="黑体" w:eastAsia="黑体" w:cs="黑体"/>
              <w:sz w:val="28"/>
              <w:szCs w:val="28"/>
            </w:rPr>
            <w:t>16</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79EB03EC">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_Toc19572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lang w:eastAsia="zh-CN"/>
            </w:rPr>
            <w:t>【</w:t>
          </w:r>
          <w:r>
            <w:rPr>
              <w:rFonts w:hint="eastAsia" w:ascii="黑体" w:hAnsi="黑体" w:eastAsia="黑体" w:cs="黑体"/>
              <w:sz w:val="28"/>
              <w:szCs w:val="36"/>
            </w:rPr>
            <w:t>案例</w:t>
          </w:r>
          <w:r>
            <w:rPr>
              <w:rFonts w:hint="eastAsia" w:ascii="黑体" w:hAnsi="黑体" w:eastAsia="黑体" w:cs="黑体"/>
              <w:sz w:val="28"/>
              <w:szCs w:val="36"/>
              <w:lang w:val="en-US" w:eastAsia="zh-CN"/>
            </w:rPr>
            <w:t>6</w:t>
          </w:r>
          <w:r>
            <w:rPr>
              <w:rFonts w:hint="eastAsia" w:ascii="黑体" w:hAnsi="黑体" w:eastAsia="黑体" w:cs="黑体"/>
              <w:sz w:val="28"/>
              <w:szCs w:val="36"/>
              <w:lang w:eastAsia="zh-CN"/>
            </w:rPr>
            <w:t>】</w:t>
          </w:r>
          <w:r>
            <w:rPr>
              <w:rFonts w:hint="eastAsia" w:ascii="黑体" w:hAnsi="黑体" w:eastAsia="黑体" w:cs="黑体"/>
              <w:sz w:val="28"/>
              <w:szCs w:val="36"/>
              <w:lang w:val="en-US" w:eastAsia="zh-CN"/>
            </w:rPr>
            <w:t>学生深入乡村实践活动</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_Toc19572 \h </w:instrText>
          </w:r>
          <w:r>
            <w:rPr>
              <w:rFonts w:hint="eastAsia" w:ascii="黑体" w:hAnsi="黑体" w:eastAsia="黑体" w:cs="黑体"/>
              <w:sz w:val="28"/>
              <w:szCs w:val="28"/>
            </w:rPr>
            <w:fldChar w:fldCharType="separate"/>
          </w:r>
          <w:r>
            <w:rPr>
              <w:rFonts w:hint="eastAsia" w:ascii="黑体" w:hAnsi="黑体" w:eastAsia="黑体" w:cs="黑体"/>
              <w:sz w:val="28"/>
              <w:szCs w:val="28"/>
            </w:rPr>
            <w:t>23</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19325929">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_Toc29943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lang w:eastAsia="zh-CN"/>
            </w:rPr>
            <w:t>【</w:t>
          </w:r>
          <w:r>
            <w:rPr>
              <w:rFonts w:hint="eastAsia" w:ascii="黑体" w:hAnsi="黑体" w:eastAsia="黑体" w:cs="黑体"/>
              <w:sz w:val="28"/>
              <w:szCs w:val="36"/>
            </w:rPr>
            <w:t>案例</w:t>
          </w:r>
          <w:r>
            <w:rPr>
              <w:rFonts w:hint="eastAsia" w:ascii="黑体" w:hAnsi="黑体" w:eastAsia="黑体" w:cs="黑体"/>
              <w:sz w:val="28"/>
              <w:szCs w:val="36"/>
              <w:lang w:val="en-US" w:eastAsia="zh-CN"/>
            </w:rPr>
            <w:t>7</w:t>
          </w:r>
          <w:r>
            <w:rPr>
              <w:rFonts w:hint="eastAsia" w:ascii="黑体" w:hAnsi="黑体" w:eastAsia="黑体" w:cs="黑体"/>
              <w:sz w:val="28"/>
              <w:szCs w:val="36"/>
              <w:lang w:eastAsia="zh-CN"/>
            </w:rPr>
            <w:t>】</w:t>
          </w:r>
          <w:r>
            <w:rPr>
              <w:rFonts w:hint="eastAsia" w:ascii="黑体" w:hAnsi="黑体" w:eastAsia="黑体" w:cs="黑体"/>
              <w:sz w:val="28"/>
              <w:szCs w:val="36"/>
              <w:lang w:val="en-US" w:eastAsia="zh-CN"/>
            </w:rPr>
            <w:t>戏曲文化</w:t>
          </w:r>
          <w:r>
            <w:rPr>
              <w:rFonts w:hint="eastAsia" w:ascii="黑体" w:hAnsi="黑体" w:eastAsia="黑体" w:cs="黑体"/>
              <w:sz w:val="28"/>
              <w:szCs w:val="36"/>
            </w:rPr>
            <w:t>进校园</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_Toc29943 \h </w:instrText>
          </w:r>
          <w:r>
            <w:rPr>
              <w:rFonts w:hint="eastAsia" w:ascii="黑体" w:hAnsi="黑体" w:eastAsia="黑体" w:cs="黑体"/>
              <w:sz w:val="28"/>
              <w:szCs w:val="28"/>
            </w:rPr>
            <w:fldChar w:fldCharType="separate"/>
          </w:r>
          <w:r>
            <w:rPr>
              <w:rFonts w:hint="eastAsia" w:ascii="黑体" w:hAnsi="黑体" w:eastAsia="黑体" w:cs="黑体"/>
              <w:sz w:val="28"/>
              <w:szCs w:val="28"/>
            </w:rPr>
            <w:t>25</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058644A7">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_Toc2603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lang w:eastAsia="zh-CN"/>
            </w:rPr>
            <w:t>【</w:t>
          </w:r>
          <w:r>
            <w:rPr>
              <w:rFonts w:hint="eastAsia" w:ascii="黑体" w:hAnsi="黑体" w:eastAsia="黑体" w:cs="黑体"/>
              <w:sz w:val="28"/>
              <w:szCs w:val="36"/>
            </w:rPr>
            <w:t>案例</w:t>
          </w:r>
          <w:r>
            <w:rPr>
              <w:rFonts w:hint="eastAsia" w:ascii="黑体" w:hAnsi="黑体" w:eastAsia="黑体" w:cs="黑体"/>
              <w:sz w:val="28"/>
              <w:szCs w:val="36"/>
              <w:lang w:val="en-US" w:eastAsia="zh-CN"/>
            </w:rPr>
            <w:t>8</w:t>
          </w:r>
          <w:r>
            <w:rPr>
              <w:rFonts w:hint="eastAsia" w:ascii="黑体" w:hAnsi="黑体" w:eastAsia="黑体" w:cs="黑体"/>
              <w:sz w:val="28"/>
              <w:szCs w:val="36"/>
              <w:lang w:eastAsia="zh-CN"/>
            </w:rPr>
            <w:t>】</w:t>
          </w:r>
          <w:r>
            <w:rPr>
              <w:rFonts w:hint="eastAsia" w:ascii="黑体" w:hAnsi="黑体" w:eastAsia="黑体" w:cs="黑体"/>
              <w:sz w:val="28"/>
              <w:szCs w:val="36"/>
              <w:lang w:val="en-US" w:eastAsia="zh-CN"/>
            </w:rPr>
            <w:t>电商助农：青春力量点亮乡村致富路</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_Toc2603 \h </w:instrText>
          </w:r>
          <w:r>
            <w:rPr>
              <w:rFonts w:hint="eastAsia" w:ascii="黑体" w:hAnsi="黑体" w:eastAsia="黑体" w:cs="黑体"/>
              <w:sz w:val="28"/>
              <w:szCs w:val="28"/>
            </w:rPr>
            <w:fldChar w:fldCharType="separate"/>
          </w:r>
          <w:r>
            <w:rPr>
              <w:rFonts w:hint="eastAsia" w:ascii="黑体" w:hAnsi="黑体" w:eastAsia="黑体" w:cs="黑体"/>
              <w:sz w:val="28"/>
              <w:szCs w:val="28"/>
            </w:rPr>
            <w:t>26</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63C39EA8">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lang w:val="en-US" w:eastAsia="zh-CN"/>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_Toc10349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lang w:eastAsia="zh-CN"/>
            </w:rPr>
            <w:t>【</w:t>
          </w:r>
          <w:r>
            <w:rPr>
              <w:rFonts w:hint="eastAsia" w:ascii="黑体" w:hAnsi="黑体" w:eastAsia="黑体" w:cs="黑体"/>
              <w:sz w:val="28"/>
              <w:szCs w:val="36"/>
            </w:rPr>
            <w:t>案例</w:t>
          </w:r>
          <w:r>
            <w:rPr>
              <w:rFonts w:hint="eastAsia" w:ascii="黑体" w:hAnsi="黑体" w:eastAsia="黑体" w:cs="黑体"/>
              <w:sz w:val="28"/>
              <w:szCs w:val="36"/>
              <w:lang w:val="en-US" w:eastAsia="zh-CN"/>
            </w:rPr>
            <w:t>9</w:t>
          </w:r>
          <w:r>
            <w:rPr>
              <w:rFonts w:hint="eastAsia" w:ascii="黑体" w:hAnsi="黑体" w:eastAsia="黑体" w:cs="黑体"/>
              <w:sz w:val="28"/>
              <w:szCs w:val="36"/>
              <w:lang w:eastAsia="zh-CN"/>
            </w:rPr>
            <w:t>】</w:t>
          </w:r>
          <w:r>
            <w:rPr>
              <w:rFonts w:hint="eastAsia" w:ascii="黑体" w:hAnsi="黑体" w:eastAsia="黑体" w:cs="黑体"/>
              <w:sz w:val="28"/>
              <w:szCs w:val="36"/>
            </w:rPr>
            <w:t>艺韵华彩——创意设计竞赛</w:t>
          </w:r>
          <w:r>
            <w:rPr>
              <w:rFonts w:hint="eastAsia" w:ascii="黑体" w:hAnsi="黑体" w:eastAsia="黑体" w:cs="黑体"/>
              <w:sz w:val="28"/>
              <w:szCs w:val="28"/>
            </w:rPr>
            <w:tab/>
          </w:r>
          <w:r>
            <w:rPr>
              <w:rFonts w:hint="eastAsia" w:ascii="黑体" w:hAnsi="黑体" w:eastAsia="黑体" w:cs="黑体"/>
              <w:sz w:val="28"/>
              <w:szCs w:val="28"/>
              <w:lang w:val="en-US" w:eastAsia="zh-CN"/>
            </w:rPr>
            <w:t>2</w:t>
          </w:r>
          <w:r>
            <w:rPr>
              <w:rFonts w:hint="eastAsia" w:ascii="黑体" w:hAnsi="黑体" w:eastAsia="黑体" w:cs="黑体"/>
              <w:snapToGrid w:val="0"/>
              <w:color w:val="000000"/>
              <w:kern w:val="0"/>
              <w:sz w:val="28"/>
              <w:szCs w:val="44"/>
              <w:lang w:val="en-US" w:eastAsia="en-US" w:bidi="ar-SA"/>
            </w:rPr>
            <w:fldChar w:fldCharType="end"/>
          </w:r>
          <w:r>
            <w:rPr>
              <w:rFonts w:hint="eastAsia" w:ascii="黑体" w:hAnsi="黑体" w:eastAsia="黑体" w:cs="黑体"/>
              <w:snapToGrid w:val="0"/>
              <w:color w:val="000000"/>
              <w:kern w:val="0"/>
              <w:sz w:val="28"/>
              <w:szCs w:val="44"/>
              <w:lang w:val="en-US" w:eastAsia="zh-CN" w:bidi="ar-SA"/>
            </w:rPr>
            <w:t>8</w:t>
          </w:r>
        </w:p>
        <w:p w14:paraId="04EB5EFD">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_Toc30023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lang w:eastAsia="zh-CN"/>
            </w:rPr>
            <w:t>【</w:t>
          </w:r>
          <w:r>
            <w:rPr>
              <w:rFonts w:hint="eastAsia" w:ascii="黑体" w:hAnsi="黑体" w:eastAsia="黑体" w:cs="黑体"/>
              <w:sz w:val="28"/>
              <w:szCs w:val="36"/>
            </w:rPr>
            <w:t>案例</w:t>
          </w:r>
          <w:r>
            <w:rPr>
              <w:rFonts w:hint="eastAsia" w:ascii="黑体" w:hAnsi="黑体" w:eastAsia="黑体" w:cs="黑体"/>
              <w:sz w:val="28"/>
              <w:szCs w:val="36"/>
              <w:lang w:val="en-US" w:eastAsia="zh-CN"/>
            </w:rPr>
            <w:t>10</w:t>
          </w:r>
          <w:r>
            <w:rPr>
              <w:rFonts w:hint="eastAsia" w:ascii="黑体" w:hAnsi="黑体" w:eastAsia="黑体" w:cs="黑体"/>
              <w:sz w:val="28"/>
              <w:szCs w:val="36"/>
              <w:lang w:eastAsia="zh-CN"/>
            </w:rPr>
            <w:t>】</w:t>
          </w:r>
          <w:r>
            <w:rPr>
              <w:rFonts w:hint="eastAsia" w:ascii="黑体" w:hAnsi="黑体" w:eastAsia="黑体" w:cs="黑体"/>
              <w:sz w:val="28"/>
              <w:szCs w:val="36"/>
            </w:rPr>
            <w:t>学校师生代表赴</w:t>
          </w:r>
          <w:r>
            <w:rPr>
              <w:rFonts w:hint="eastAsia" w:ascii="黑体" w:hAnsi="黑体" w:eastAsia="黑体" w:cs="黑体"/>
              <w:sz w:val="28"/>
              <w:szCs w:val="36"/>
              <w:lang w:val="en-US" w:eastAsia="zh-CN"/>
            </w:rPr>
            <w:t>革命</w:t>
          </w:r>
          <w:r>
            <w:rPr>
              <w:rFonts w:hint="eastAsia" w:ascii="黑体" w:hAnsi="黑体" w:eastAsia="黑体" w:cs="黑体"/>
              <w:sz w:val="28"/>
              <w:szCs w:val="36"/>
            </w:rPr>
            <w:t>纪念馆开展实践教育教学</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_Toc30023 \h </w:instrText>
          </w:r>
          <w:r>
            <w:rPr>
              <w:rFonts w:hint="eastAsia" w:ascii="黑体" w:hAnsi="黑体" w:eastAsia="黑体" w:cs="黑体"/>
              <w:sz w:val="28"/>
              <w:szCs w:val="28"/>
            </w:rPr>
            <w:fldChar w:fldCharType="separate"/>
          </w:r>
          <w:r>
            <w:rPr>
              <w:rFonts w:hint="eastAsia" w:ascii="黑体" w:hAnsi="黑体" w:eastAsia="黑体" w:cs="黑体"/>
              <w:sz w:val="28"/>
              <w:szCs w:val="28"/>
            </w:rPr>
            <w:t>29</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69A7CDC5">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_Toc24434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lang w:eastAsia="zh-CN"/>
            </w:rPr>
            <w:t>【</w:t>
          </w:r>
          <w:r>
            <w:rPr>
              <w:rFonts w:hint="eastAsia" w:ascii="黑体" w:hAnsi="黑体" w:eastAsia="黑体" w:cs="黑体"/>
              <w:sz w:val="28"/>
              <w:szCs w:val="36"/>
            </w:rPr>
            <w:t>案例</w:t>
          </w:r>
          <w:r>
            <w:rPr>
              <w:rFonts w:hint="eastAsia" w:ascii="黑体" w:hAnsi="黑体" w:eastAsia="黑体" w:cs="黑体"/>
              <w:sz w:val="28"/>
              <w:szCs w:val="36"/>
              <w:lang w:val="en-US" w:eastAsia="zh-CN"/>
            </w:rPr>
            <w:t>11</w:t>
          </w:r>
          <w:r>
            <w:rPr>
              <w:rFonts w:hint="eastAsia" w:ascii="黑体" w:hAnsi="黑体" w:eastAsia="黑体" w:cs="黑体"/>
              <w:sz w:val="28"/>
              <w:szCs w:val="36"/>
              <w:lang w:eastAsia="zh-CN"/>
            </w:rPr>
            <w:t>】</w:t>
          </w:r>
          <w:r>
            <w:rPr>
              <w:rFonts w:hint="eastAsia" w:ascii="黑体" w:hAnsi="黑体" w:eastAsia="黑体" w:cs="黑体"/>
              <w:sz w:val="28"/>
              <w:szCs w:val="36"/>
            </w:rPr>
            <w:t>青春志愿行，温暖社区情</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_Toc24434 \h </w:instrText>
          </w:r>
          <w:r>
            <w:rPr>
              <w:rFonts w:hint="eastAsia" w:ascii="黑体" w:hAnsi="黑体" w:eastAsia="黑体" w:cs="黑体"/>
              <w:sz w:val="28"/>
              <w:szCs w:val="28"/>
            </w:rPr>
            <w:fldChar w:fldCharType="separate"/>
          </w:r>
          <w:r>
            <w:rPr>
              <w:rFonts w:hint="eastAsia" w:ascii="黑体" w:hAnsi="黑体" w:eastAsia="黑体" w:cs="黑体"/>
              <w:sz w:val="28"/>
              <w:szCs w:val="28"/>
            </w:rPr>
            <w:t>32</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627DB461">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_Toc32264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rPr>
            <w:t>【案例</w:t>
          </w:r>
          <w:r>
            <w:rPr>
              <w:rFonts w:hint="eastAsia" w:ascii="黑体" w:hAnsi="黑体" w:eastAsia="黑体" w:cs="黑体"/>
              <w:sz w:val="28"/>
              <w:szCs w:val="36"/>
              <w:lang w:val="en-US" w:eastAsia="zh-CN"/>
            </w:rPr>
            <w:t>12</w:t>
          </w:r>
          <w:r>
            <w:rPr>
              <w:rFonts w:hint="eastAsia" w:ascii="黑体" w:hAnsi="黑体" w:eastAsia="黑体" w:cs="黑体"/>
              <w:sz w:val="28"/>
              <w:szCs w:val="36"/>
              <w:lang w:eastAsia="zh-CN"/>
            </w:rPr>
            <w:t>】</w:t>
          </w:r>
          <w:r>
            <w:rPr>
              <w:rFonts w:hint="eastAsia" w:ascii="黑体" w:hAnsi="黑体" w:eastAsia="黑体" w:cs="黑体"/>
              <w:sz w:val="28"/>
              <w:szCs w:val="36"/>
            </w:rPr>
            <w:t>大力发展职业教育，推动校企合作模式</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_Toc32264 \h </w:instrText>
          </w:r>
          <w:r>
            <w:rPr>
              <w:rFonts w:hint="eastAsia" w:ascii="黑体" w:hAnsi="黑体" w:eastAsia="黑体" w:cs="黑体"/>
              <w:sz w:val="28"/>
              <w:szCs w:val="28"/>
            </w:rPr>
            <w:fldChar w:fldCharType="separate"/>
          </w:r>
          <w:r>
            <w:rPr>
              <w:rFonts w:hint="eastAsia" w:ascii="黑体" w:hAnsi="黑体" w:eastAsia="黑体" w:cs="黑体"/>
              <w:sz w:val="28"/>
              <w:szCs w:val="28"/>
            </w:rPr>
            <w:t>35</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6CAE2404">
          <w:pPr>
            <w:pStyle w:val="7"/>
            <w:keepNext w:val="0"/>
            <w:keepLines w:val="0"/>
            <w:pageBreakBefore w:val="0"/>
            <w:widowControl/>
            <w:tabs>
              <w:tab w:val="right" w:leader="dot" w:pos="8336"/>
            </w:tabs>
            <w:kinsoku w:val="0"/>
            <w:wordWrap/>
            <w:overflowPunct/>
            <w:topLinePunct w:val="0"/>
            <w:autoSpaceDE w:val="0"/>
            <w:autoSpaceDN w:val="0"/>
            <w:bidi w:val="0"/>
            <w:adjustRightInd w:val="0"/>
            <w:snapToGrid w:val="0"/>
            <w:spacing w:line="360" w:lineRule="auto"/>
            <w:ind w:left="0" w:leftChars="0"/>
            <w:textAlignment w:val="baseline"/>
            <w:rPr>
              <w:rFonts w:hint="eastAsia" w:ascii="黑体" w:hAnsi="黑体" w:eastAsia="黑体" w:cs="黑体"/>
              <w:sz w:val="28"/>
              <w:szCs w:val="28"/>
            </w:rPr>
          </w:pPr>
          <w:r>
            <w:rPr>
              <w:rFonts w:hint="eastAsia" w:ascii="黑体" w:hAnsi="黑体" w:eastAsia="黑体" w:cs="黑体"/>
              <w:snapToGrid w:val="0"/>
              <w:color w:val="000000"/>
              <w:kern w:val="0"/>
              <w:sz w:val="28"/>
              <w:szCs w:val="44"/>
              <w:lang w:val="en-US" w:eastAsia="en-US" w:bidi="ar-SA"/>
            </w:rPr>
            <w:fldChar w:fldCharType="begin"/>
          </w:r>
          <w:r>
            <w:rPr>
              <w:rFonts w:hint="eastAsia" w:ascii="黑体" w:hAnsi="黑体" w:eastAsia="黑体" w:cs="黑体"/>
              <w:snapToGrid w:val="0"/>
              <w:kern w:val="0"/>
              <w:sz w:val="28"/>
              <w:szCs w:val="44"/>
              <w:lang w:val="en-US" w:eastAsia="en-US" w:bidi="ar-SA"/>
            </w:rPr>
            <w:instrText xml:space="preserve"> HYPERLINK \l _Toc8354 </w:instrText>
          </w:r>
          <w:r>
            <w:rPr>
              <w:rFonts w:hint="eastAsia" w:ascii="黑体" w:hAnsi="黑体" w:eastAsia="黑体" w:cs="黑体"/>
              <w:snapToGrid w:val="0"/>
              <w:kern w:val="0"/>
              <w:sz w:val="28"/>
              <w:szCs w:val="44"/>
              <w:lang w:val="en-US" w:eastAsia="en-US" w:bidi="ar-SA"/>
            </w:rPr>
            <w:fldChar w:fldCharType="separate"/>
          </w:r>
          <w:r>
            <w:rPr>
              <w:rFonts w:hint="eastAsia" w:ascii="黑体" w:hAnsi="黑体" w:eastAsia="黑体" w:cs="黑体"/>
              <w:sz w:val="28"/>
              <w:szCs w:val="36"/>
            </w:rPr>
            <w:t>【案例</w:t>
          </w:r>
          <w:r>
            <w:rPr>
              <w:rFonts w:hint="eastAsia" w:ascii="黑体" w:hAnsi="黑体" w:eastAsia="黑体" w:cs="黑体"/>
              <w:sz w:val="28"/>
              <w:szCs w:val="36"/>
              <w:lang w:val="en-US" w:eastAsia="zh-CN"/>
            </w:rPr>
            <w:t>13</w:t>
          </w:r>
          <w:r>
            <w:rPr>
              <w:rFonts w:hint="eastAsia" w:ascii="黑体" w:hAnsi="黑体" w:eastAsia="黑体" w:cs="黑体"/>
              <w:sz w:val="28"/>
              <w:szCs w:val="36"/>
              <w:lang w:eastAsia="zh-CN"/>
            </w:rPr>
            <w:t>】</w:t>
          </w:r>
          <w:r>
            <w:rPr>
              <w:rFonts w:hint="eastAsia" w:ascii="黑体" w:hAnsi="黑体" w:eastAsia="黑体" w:cs="黑体"/>
              <w:sz w:val="28"/>
              <w:szCs w:val="36"/>
            </w:rPr>
            <w:t>响应国家号召，助力体育事业发展</w:t>
          </w:r>
          <w:r>
            <w:rPr>
              <w:rFonts w:hint="eastAsia" w:ascii="黑体" w:hAnsi="黑体" w:eastAsia="黑体" w:cs="黑体"/>
              <w:sz w:val="28"/>
              <w:szCs w:val="28"/>
            </w:rPr>
            <w:tab/>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PAGEREF _Toc8354 \h </w:instrText>
          </w:r>
          <w:r>
            <w:rPr>
              <w:rFonts w:hint="eastAsia" w:ascii="黑体" w:hAnsi="黑体" w:eastAsia="黑体" w:cs="黑体"/>
              <w:sz w:val="28"/>
              <w:szCs w:val="28"/>
            </w:rPr>
            <w:fldChar w:fldCharType="separate"/>
          </w:r>
          <w:r>
            <w:rPr>
              <w:rFonts w:hint="eastAsia" w:ascii="黑体" w:hAnsi="黑体" w:eastAsia="黑体" w:cs="黑体"/>
              <w:sz w:val="28"/>
              <w:szCs w:val="28"/>
            </w:rPr>
            <w:t>42</w:t>
          </w:r>
          <w:r>
            <w:rPr>
              <w:rFonts w:hint="eastAsia" w:ascii="黑体" w:hAnsi="黑体" w:eastAsia="黑体" w:cs="黑体"/>
              <w:sz w:val="28"/>
              <w:szCs w:val="28"/>
            </w:rPr>
            <w:fldChar w:fldCharType="end"/>
          </w:r>
          <w:r>
            <w:rPr>
              <w:rFonts w:hint="eastAsia" w:ascii="黑体" w:hAnsi="黑体" w:eastAsia="黑体" w:cs="黑体"/>
              <w:snapToGrid w:val="0"/>
              <w:color w:val="000000"/>
              <w:kern w:val="0"/>
              <w:sz w:val="28"/>
              <w:szCs w:val="44"/>
              <w:lang w:val="en-US" w:eastAsia="en-US" w:bidi="ar-SA"/>
            </w:rPr>
            <w:fldChar w:fldCharType="end"/>
          </w:r>
        </w:p>
        <w:p w14:paraId="497B045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center"/>
            <w:textAlignment w:val="baseline"/>
            <w:rPr>
              <w:rFonts w:hint="eastAsia" w:ascii="黑体" w:hAnsi="黑体" w:eastAsia="黑体" w:cs="黑体"/>
              <w:snapToGrid w:val="0"/>
              <w:color w:val="000000"/>
              <w:kern w:val="0"/>
              <w:sz w:val="28"/>
              <w:szCs w:val="44"/>
              <w:lang w:val="en-US" w:eastAsia="en-US" w:bidi="ar-SA"/>
            </w:rPr>
          </w:pPr>
          <w:r>
            <w:rPr>
              <w:rFonts w:hint="eastAsia" w:ascii="黑体" w:hAnsi="黑体" w:eastAsia="黑体" w:cs="黑体"/>
              <w:snapToGrid w:val="0"/>
              <w:color w:val="000000"/>
              <w:kern w:val="0"/>
              <w:sz w:val="28"/>
              <w:szCs w:val="44"/>
              <w:lang w:val="en-US" w:eastAsia="en-US" w:bidi="ar-SA"/>
            </w:rPr>
            <w:fldChar w:fldCharType="end"/>
          </w:r>
        </w:p>
      </w:sdtContent>
    </w:sdt>
    <w:p w14:paraId="1033DE0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textAlignment w:val="baseline"/>
        <w:rPr>
          <w:rFonts w:hint="eastAsia" w:ascii="黑体" w:hAnsi="黑体" w:eastAsia="黑体" w:cs="黑体"/>
          <w:snapToGrid w:val="0"/>
          <w:color w:val="000000"/>
          <w:kern w:val="0"/>
          <w:sz w:val="28"/>
          <w:szCs w:val="44"/>
          <w:lang w:val="en-US" w:eastAsia="en-US" w:bidi="ar-SA"/>
        </w:rPr>
        <w:sectPr>
          <w:footerReference r:id="rId7" w:type="default"/>
          <w:pgSz w:w="11906" w:h="16839"/>
          <w:pgMar w:top="1422" w:right="1785" w:bottom="1154" w:left="1785" w:header="0" w:footer="978" w:gutter="0"/>
          <w:pgNumType w:fmt="upperRoman"/>
          <w:cols w:space="720" w:num="1"/>
        </w:sectPr>
      </w:pPr>
    </w:p>
    <w:p w14:paraId="29D6B19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outlineLvl w:val="0"/>
        <w:rPr>
          <w:rFonts w:hint="eastAsia" w:ascii="黑体" w:hAnsi="黑体" w:eastAsia="黑体" w:cs="黑体"/>
          <w:sz w:val="44"/>
          <w:szCs w:val="44"/>
        </w:rPr>
      </w:pPr>
      <w:bookmarkStart w:id="20" w:name="bookmark7"/>
      <w:bookmarkEnd w:id="20"/>
      <w:bookmarkStart w:id="21" w:name="_Toc26933"/>
      <w:bookmarkStart w:id="22" w:name="_Toc11514"/>
      <w:bookmarkStart w:id="23" w:name="_Toc2204"/>
      <w:bookmarkStart w:id="24" w:name="_Toc11987"/>
      <w:bookmarkStart w:id="25" w:name="_Toc3226"/>
      <w:bookmarkStart w:id="26" w:name="_Toc8277"/>
      <w:bookmarkStart w:id="27" w:name="_Toc9114"/>
      <w:bookmarkStart w:id="28" w:name="_Toc30512"/>
      <w:bookmarkStart w:id="29" w:name="_Toc2281"/>
      <w:bookmarkStart w:id="30" w:name="_Toc5752"/>
      <w:r>
        <w:rPr>
          <w:rFonts w:hint="eastAsia" w:ascii="黑体" w:hAnsi="黑体" w:eastAsia="黑体" w:cs="黑体"/>
          <w:spacing w:val="4"/>
          <w:sz w:val="44"/>
          <w:szCs w:val="44"/>
        </w:rPr>
        <w:t>前言</w:t>
      </w:r>
      <w:bookmarkEnd w:id="21"/>
      <w:bookmarkEnd w:id="22"/>
      <w:bookmarkEnd w:id="23"/>
      <w:bookmarkEnd w:id="24"/>
      <w:bookmarkEnd w:id="25"/>
      <w:bookmarkEnd w:id="26"/>
      <w:bookmarkEnd w:id="27"/>
      <w:bookmarkEnd w:id="28"/>
      <w:bookmarkEnd w:id="29"/>
      <w:bookmarkEnd w:id="30"/>
    </w:p>
    <w:p w14:paraId="5A1B5BF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中等职业教育作为我国高中阶段教育的关键构成部分，承担着为社会培育大量高素质技能人才与劳动者的重任，也为中职生迈向高等教育开辟道路，意义非凡。国家对其发展极为重视并全力支持，造就了优良的政策环境。现今，中等职业教育迎来了蓬勃发展的黄金时期，正朝着持续、快速且健康的方向大步迈进。</w:t>
      </w:r>
    </w:p>
    <w:p w14:paraId="4EA8F16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default" w:ascii="仿宋_GB2312" w:hAnsi="仿宋_GB2312" w:eastAsia="仿宋_GB2312" w:cs="仿宋_GB2312"/>
          <w:spacing w:val="7"/>
          <w:sz w:val="28"/>
          <w:szCs w:val="28"/>
          <w:lang w:val="en-US" w:eastAsia="zh-CN"/>
        </w:rPr>
        <w:t>近两年，</w:t>
      </w:r>
      <w:r>
        <w:rPr>
          <w:rFonts w:hint="eastAsia" w:ascii="仿宋_GB2312" w:hAnsi="仿宋_GB2312" w:eastAsia="仿宋_GB2312" w:cs="仿宋_GB2312"/>
          <w:spacing w:val="7"/>
          <w:sz w:val="28"/>
          <w:szCs w:val="28"/>
          <w:lang w:val="en-US" w:eastAsia="zh-CN"/>
        </w:rPr>
        <w:t>郑州青年职业中等专业学校</w:t>
      </w:r>
      <w:r>
        <w:rPr>
          <w:rFonts w:hint="default" w:ascii="仿宋_GB2312" w:hAnsi="仿宋_GB2312" w:eastAsia="仿宋_GB2312" w:cs="仿宋_GB2312"/>
          <w:spacing w:val="7"/>
          <w:sz w:val="28"/>
          <w:szCs w:val="28"/>
          <w:lang w:val="en-US" w:eastAsia="zh-CN"/>
        </w:rPr>
        <w:t>，</w:t>
      </w:r>
      <w:r>
        <w:rPr>
          <w:rFonts w:hint="eastAsia" w:ascii="仿宋_GB2312" w:hAnsi="仿宋_GB2312" w:eastAsia="仿宋_GB2312" w:cs="仿宋_GB2312"/>
          <w:spacing w:val="7"/>
          <w:sz w:val="28"/>
          <w:szCs w:val="28"/>
          <w:lang w:val="en-US" w:eastAsia="zh-CN"/>
        </w:rPr>
        <w:t>也步入了良性发展轨道。2025年学校在多方面工作成效显著。于教学、学生管理、安全及后勤保障等工作持续强化与优化，办学条件升级，教学质量提升，学生与家长满意度攀升，服务社会与区域经济的范畴得以拓展，办学信誉与社会效益同步提高。</w:t>
      </w:r>
    </w:p>
    <w:p w14:paraId="798BE45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质量是学校生存的根本。中等职业学校向教育行政部门与社会汇报办学质量，既是基本责任，也是主动接受监督检查与社会评议的必然要求。精心编制年度质量报告，深入剖析工作利弊，对学校自身的自省改进以及向社会展示实力与担当均有着不可替代的重要价值。</w:t>
      </w:r>
    </w:p>
    <w:p w14:paraId="09F7C43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2025年11月中旬起，学校开启年度质量报告编制工作。成立由学校理事会、和校委会领导的编制工作专班，并从校办公室、教务部等部门抽调骨干组建工作小组，通过全面评估教育教学工作，总结经验教训，为报告编制筑牢组织根基。工作专班与小组深入</w:t>
      </w:r>
      <w:r>
        <w:rPr>
          <w:rFonts w:hint="eastAsia" w:ascii="仿宋_GB2312" w:hAnsi="仿宋_GB2312" w:eastAsia="仿宋_GB2312" w:cs="仿宋_GB2312"/>
          <w:spacing w:val="7"/>
          <w:sz w:val="28"/>
          <w:szCs w:val="28"/>
          <w:u w:val="none"/>
          <w:lang w:val="en-US" w:eastAsia="zh-CN"/>
        </w:rPr>
        <w:t>学习</w:t>
      </w:r>
      <w:r>
        <w:rPr>
          <w:rFonts w:hint="eastAsia" w:ascii="仿宋_GB2312" w:hAnsi="仿宋_GB2312" w:eastAsia="仿宋_GB2312" w:cs="仿宋_GB2312"/>
          <w:spacing w:val="7"/>
          <w:sz w:val="28"/>
          <w:szCs w:val="28"/>
          <w:lang w:val="en-US" w:eastAsia="zh-CN"/>
        </w:rPr>
        <w:t>《河南省教育厅办公室关于做好职业教育质量报告（2025年度）编制发布和报送工作的通知》，依文件要求拟定编制提纲，细致梳理年内教育教学活动信息，经整理提炼确定主要特点，最终于2025年12月顺利完成年度质量报告编制，为学校教育教学质量的呈现与提升迈出坚实一步。</w:t>
      </w:r>
    </w:p>
    <w:p w14:paraId="1DCD5BC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sectPr>
          <w:footerReference r:id="rId8" w:type="default"/>
          <w:pgSz w:w="11906" w:h="16839"/>
          <w:pgMar w:top="1431" w:right="1688" w:bottom="1152" w:left="1785" w:header="0" w:footer="978" w:gutter="0"/>
          <w:pgNumType w:fmt="decimal" w:start="1"/>
          <w:cols w:space="720" w:num="1"/>
        </w:sectPr>
      </w:pPr>
      <w:r>
        <w:rPr>
          <w:rFonts w:hint="eastAsia" w:ascii="仿宋_GB2312" w:hAnsi="仿宋_GB2312" w:eastAsia="仿宋_GB2312" w:cs="仿宋_GB2312"/>
          <w:spacing w:val="7"/>
          <w:sz w:val="28"/>
          <w:szCs w:val="28"/>
          <w:lang w:val="en-US" w:eastAsia="zh-CN"/>
        </w:rPr>
        <w:t>学校年度质量报告编制工作深入贯彻习近平新时代中国特色社会主义思想，坚守民办教育正确的社会主义办学方向，切实落实党的教育方针与立德树人根本任务。秉持实事求是的编报原则，如实呈现成绩与不足，既不夸大成绩，也不回避缺点。编制依据《河南省教育厅办公室关于做好职业教育质量报告（2025年度）编制发布和报送工作的通知》以及《中等职业教育指标及相关内涵说明》展开。所涵盖信息包含学校年度工作全程、各方面状况及成果，数据截止报告编制当日，确保内容真实可靠、数据精准无误，具备较高可信度，真实反映学校教育教学实际情形。</w:t>
      </w:r>
    </w:p>
    <w:p w14:paraId="7A44AC98">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left="0" w:leftChars="0" w:right="0" w:firstLine="659" w:firstLineChars="200"/>
        <w:textAlignment w:val="baseline"/>
        <w:outlineLvl w:val="0"/>
        <w:rPr>
          <w:rFonts w:ascii="黑体" w:hAnsi="黑体" w:eastAsia="黑体" w:cs="黑体"/>
          <w:b/>
          <w:bCs/>
          <w:spacing w:val="4"/>
          <w:sz w:val="32"/>
          <w:szCs w:val="32"/>
        </w:rPr>
      </w:pPr>
      <w:bookmarkStart w:id="31" w:name="_Toc29599"/>
      <w:bookmarkStart w:id="32" w:name="_Toc29848"/>
      <w:bookmarkStart w:id="33" w:name="_Toc1620"/>
      <w:bookmarkStart w:id="34" w:name="_Toc2299"/>
      <w:bookmarkStart w:id="35" w:name="_Toc14332"/>
      <w:bookmarkStart w:id="36" w:name="_Toc14157"/>
      <w:bookmarkStart w:id="37" w:name="_Toc18558"/>
      <w:bookmarkStart w:id="38" w:name="_Toc21782"/>
      <w:bookmarkStart w:id="39" w:name="_Toc18074"/>
      <w:bookmarkStart w:id="40" w:name="_Toc15510"/>
      <w:r>
        <w:rPr>
          <w:rFonts w:hint="eastAsia" w:ascii="黑体" w:hAnsi="黑体" w:eastAsia="黑体" w:cs="黑体"/>
          <w:b/>
          <w:bCs/>
          <w:spacing w:val="4"/>
          <w:sz w:val="32"/>
          <w:szCs w:val="32"/>
          <w:lang w:val="en-US" w:eastAsia="zh-CN"/>
        </w:rPr>
        <w:t>1</w:t>
      </w:r>
      <w:r>
        <w:rPr>
          <w:rFonts w:ascii="黑体" w:hAnsi="黑体" w:eastAsia="黑体" w:cs="黑体"/>
          <w:b/>
          <w:bCs/>
          <w:spacing w:val="4"/>
          <w:sz w:val="32"/>
          <w:szCs w:val="32"/>
        </w:rPr>
        <w:t>学校概况</w:t>
      </w:r>
      <w:bookmarkEnd w:id="31"/>
      <w:bookmarkEnd w:id="32"/>
      <w:bookmarkEnd w:id="33"/>
      <w:bookmarkEnd w:id="34"/>
      <w:bookmarkEnd w:id="35"/>
      <w:bookmarkEnd w:id="36"/>
      <w:bookmarkEnd w:id="37"/>
      <w:bookmarkEnd w:id="38"/>
      <w:bookmarkEnd w:id="39"/>
      <w:bookmarkEnd w:id="40"/>
    </w:p>
    <w:p w14:paraId="5EE4EED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郑州青年职业中等专业学校始建于2007年，是经国家教育部门批准成立的全日制中等专业学校。坐落于新一线国家中心城市郑州市。学校总面积6.5万余平方米，总建筑面积5.6万平方米、可容纳4000人学习生活。</w:t>
      </w:r>
    </w:p>
    <w:p w14:paraId="0A527030">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z w:val="28"/>
          <w:szCs w:val="28"/>
        </w:rPr>
      </w:pPr>
      <w:bookmarkStart w:id="41" w:name="bookmark9"/>
      <w:bookmarkEnd w:id="41"/>
      <w:bookmarkStart w:id="42" w:name="_Toc23910"/>
      <w:bookmarkStart w:id="43" w:name="_Toc29851"/>
      <w:bookmarkStart w:id="44" w:name="_Toc9383"/>
      <w:bookmarkStart w:id="45" w:name="_Toc23799"/>
      <w:bookmarkStart w:id="46" w:name="_Toc31550"/>
      <w:bookmarkStart w:id="47" w:name="_Toc4427"/>
      <w:bookmarkStart w:id="48" w:name="_Toc13107"/>
      <w:bookmarkStart w:id="49" w:name="_Toc27959"/>
      <w:bookmarkStart w:id="50" w:name="_Toc3297"/>
      <w:bookmarkStart w:id="51" w:name="_Toc7973"/>
      <w:r>
        <w:rPr>
          <w:rFonts w:hint="eastAsia" w:ascii="楷体_GB2312" w:hAnsi="楷体_GB2312" w:eastAsia="楷体_GB2312" w:cs="楷体_GB2312"/>
          <w:b/>
          <w:bCs/>
          <w:spacing w:val="5"/>
          <w:sz w:val="28"/>
          <w:szCs w:val="28"/>
          <w:lang w:val="en-US" w:eastAsia="zh-CN"/>
        </w:rPr>
        <w:t>1.1</w:t>
      </w:r>
      <w:r>
        <w:rPr>
          <w:rFonts w:hint="eastAsia" w:ascii="楷体_GB2312" w:hAnsi="楷体_GB2312" w:eastAsia="楷体_GB2312" w:cs="楷体_GB2312"/>
          <w:b/>
          <w:bCs/>
          <w:spacing w:val="5"/>
          <w:sz w:val="28"/>
          <w:szCs w:val="28"/>
        </w:rPr>
        <w:t>办学规模</w:t>
      </w:r>
      <w:bookmarkEnd w:id="42"/>
      <w:bookmarkEnd w:id="43"/>
      <w:bookmarkEnd w:id="44"/>
      <w:bookmarkEnd w:id="45"/>
      <w:bookmarkEnd w:id="46"/>
      <w:bookmarkEnd w:id="47"/>
      <w:bookmarkEnd w:id="48"/>
      <w:bookmarkEnd w:id="49"/>
      <w:bookmarkEnd w:id="50"/>
      <w:bookmarkEnd w:id="51"/>
    </w:p>
    <w:p w14:paraId="0937E08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学校现有在校生人数1207人，毕业生就业率高于平均水平，社会反响良好。</w:t>
      </w:r>
    </w:p>
    <w:p w14:paraId="15912949">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52" w:name="bookmark11"/>
      <w:bookmarkEnd w:id="52"/>
      <w:bookmarkStart w:id="53" w:name="_Toc6234"/>
      <w:bookmarkStart w:id="54" w:name="_Toc2467"/>
      <w:bookmarkStart w:id="55" w:name="_Toc26372"/>
      <w:bookmarkStart w:id="56" w:name="_Toc30971"/>
      <w:bookmarkStart w:id="57" w:name="_Toc30090"/>
      <w:bookmarkStart w:id="58" w:name="_Toc6723"/>
      <w:bookmarkStart w:id="59" w:name="_Toc3798"/>
      <w:bookmarkStart w:id="60" w:name="_Toc22325"/>
      <w:bookmarkStart w:id="61" w:name="_Toc2783"/>
      <w:bookmarkStart w:id="62" w:name="_Toc20267"/>
      <w:r>
        <w:rPr>
          <w:rFonts w:hint="eastAsia" w:ascii="楷体_GB2312" w:hAnsi="楷体_GB2312" w:eastAsia="楷体_GB2312" w:cs="楷体_GB2312"/>
          <w:b/>
          <w:bCs/>
          <w:spacing w:val="5"/>
          <w:sz w:val="28"/>
          <w:szCs w:val="28"/>
          <w:lang w:val="en-US" w:eastAsia="zh-CN"/>
        </w:rPr>
        <w:t>1.2师资队伍</w:t>
      </w:r>
      <w:bookmarkEnd w:id="53"/>
      <w:bookmarkEnd w:id="54"/>
      <w:bookmarkEnd w:id="55"/>
      <w:bookmarkEnd w:id="56"/>
      <w:bookmarkEnd w:id="57"/>
      <w:bookmarkEnd w:id="58"/>
      <w:bookmarkEnd w:id="59"/>
      <w:bookmarkEnd w:id="60"/>
      <w:bookmarkEnd w:id="61"/>
      <w:bookmarkEnd w:id="62"/>
    </w:p>
    <w:p w14:paraId="6EFE26B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8" w:firstLineChars="200"/>
        <w:textAlignment w:val="baseline"/>
        <w:rPr>
          <w:rFonts w:hint="eastAsia" w:ascii="仿宋" w:hAnsi="仿宋" w:eastAsia="仿宋" w:cs="仿宋"/>
          <w:sz w:val="28"/>
          <w:szCs w:val="28"/>
        </w:rPr>
      </w:pPr>
      <w:r>
        <w:rPr>
          <w:rFonts w:hint="eastAsia" w:ascii="仿宋_GB2312" w:hAnsi="仿宋_GB2312" w:eastAsia="仿宋_GB2312" w:cs="仿宋_GB2312"/>
          <w:spacing w:val="7"/>
          <w:sz w:val="28"/>
          <w:szCs w:val="28"/>
          <w:lang w:val="en-US" w:eastAsia="zh-CN"/>
        </w:rPr>
        <w:t>学校具备与办学规模相当的教师团队，专职教师共计65人，其中专业教师52人，占教师总数共计80%，师生比为1:18.6。</w:t>
      </w:r>
    </w:p>
    <w:p w14:paraId="1FFFF3F6">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63" w:name="bookmark13"/>
      <w:bookmarkEnd w:id="63"/>
      <w:bookmarkStart w:id="64" w:name="_Toc1901"/>
      <w:bookmarkStart w:id="65" w:name="_Toc19778"/>
      <w:bookmarkStart w:id="66" w:name="_Toc15977"/>
      <w:bookmarkStart w:id="67" w:name="_Toc3819"/>
      <w:bookmarkStart w:id="68" w:name="_Toc17816"/>
      <w:bookmarkStart w:id="69" w:name="_Toc21014"/>
      <w:bookmarkStart w:id="70" w:name="_Toc19343"/>
      <w:bookmarkStart w:id="71" w:name="_Toc12983"/>
      <w:bookmarkStart w:id="72" w:name="_Toc2511"/>
      <w:bookmarkStart w:id="73" w:name="_Toc7144"/>
      <w:r>
        <w:rPr>
          <w:rFonts w:hint="eastAsia" w:ascii="楷体_GB2312" w:hAnsi="楷体_GB2312" w:eastAsia="楷体_GB2312" w:cs="楷体_GB2312"/>
          <w:b/>
          <w:bCs/>
          <w:spacing w:val="5"/>
          <w:sz w:val="28"/>
          <w:szCs w:val="28"/>
          <w:lang w:val="en-US" w:eastAsia="zh-CN"/>
        </w:rPr>
        <w:t>1.3仪器设备</w:t>
      </w:r>
      <w:bookmarkEnd w:id="64"/>
      <w:bookmarkEnd w:id="65"/>
      <w:bookmarkEnd w:id="66"/>
      <w:bookmarkEnd w:id="67"/>
      <w:bookmarkEnd w:id="68"/>
      <w:bookmarkEnd w:id="69"/>
      <w:bookmarkEnd w:id="70"/>
      <w:bookmarkEnd w:id="71"/>
      <w:bookmarkEnd w:id="72"/>
      <w:bookmarkEnd w:id="73"/>
    </w:p>
    <w:p w14:paraId="635492A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具有专业设置相匹配，满足教学需求的实验，实训，实习设施和仪器设备，配备2个计算机机房（笔记本40台，台式计算机60台）供计算机专业学生进行实训实操。为满足电子商务专业学生实践教学的需要，同时还设有电子商务直播室，拥有总计算机量达到200台，每百生就算计量大于15台。使学生能够较好的理论实践相结合。仪器设备共计696万元。</w:t>
      </w:r>
    </w:p>
    <w:p w14:paraId="4DCD395A">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74" w:name="bookmark15"/>
      <w:bookmarkEnd w:id="74"/>
      <w:bookmarkStart w:id="75" w:name="_Toc12211"/>
      <w:bookmarkStart w:id="76" w:name="_Toc1204"/>
      <w:bookmarkStart w:id="77" w:name="_Toc19127"/>
      <w:bookmarkStart w:id="78" w:name="_Toc16386"/>
      <w:bookmarkStart w:id="79" w:name="_Toc23855"/>
      <w:bookmarkStart w:id="80" w:name="_Toc26030"/>
      <w:bookmarkStart w:id="81" w:name="_Toc13316"/>
      <w:bookmarkStart w:id="82" w:name="_Toc12960"/>
      <w:bookmarkStart w:id="83" w:name="_Toc24514"/>
      <w:bookmarkStart w:id="84" w:name="_Toc21789"/>
      <w:r>
        <w:rPr>
          <w:rFonts w:hint="eastAsia" w:ascii="楷体_GB2312" w:hAnsi="楷体_GB2312" w:eastAsia="楷体_GB2312" w:cs="楷体_GB2312"/>
          <w:b/>
          <w:bCs/>
          <w:spacing w:val="5"/>
          <w:sz w:val="28"/>
          <w:szCs w:val="28"/>
          <w:lang w:val="en-US" w:eastAsia="zh-CN"/>
        </w:rPr>
        <w:t>1.4图书配备</w:t>
      </w:r>
      <w:bookmarkEnd w:id="75"/>
      <w:bookmarkEnd w:id="76"/>
      <w:bookmarkEnd w:id="77"/>
      <w:bookmarkEnd w:id="78"/>
      <w:bookmarkEnd w:id="79"/>
      <w:bookmarkEnd w:id="80"/>
      <w:bookmarkEnd w:id="81"/>
      <w:bookmarkEnd w:id="82"/>
      <w:bookmarkEnd w:id="83"/>
      <w:bookmarkEnd w:id="84"/>
    </w:p>
    <w:p w14:paraId="5663A0A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为丰富学生的课外活动，拓展学生视野，学校现有图书存储量纸质图书达到84000册，电子图书12202。人均图书存量达到27.5册/人，报刊种类达108种，阅览室座位数达到245个。</w:t>
      </w:r>
    </w:p>
    <w:p w14:paraId="7B1FE8FE">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85" w:name="bookmark17"/>
      <w:bookmarkEnd w:id="85"/>
      <w:bookmarkStart w:id="86" w:name="_Toc8600"/>
      <w:bookmarkStart w:id="87" w:name="_Toc9922"/>
      <w:bookmarkStart w:id="88" w:name="_Toc12415"/>
      <w:bookmarkStart w:id="89" w:name="_Toc18217"/>
      <w:bookmarkStart w:id="90" w:name="_Toc10536"/>
      <w:bookmarkStart w:id="91" w:name="_Toc31593"/>
      <w:bookmarkStart w:id="92" w:name="_Toc27952"/>
      <w:bookmarkStart w:id="93" w:name="_Toc28416"/>
      <w:bookmarkStart w:id="94" w:name="_Toc2260"/>
      <w:bookmarkStart w:id="95" w:name="_Toc26694"/>
      <w:r>
        <w:rPr>
          <w:rFonts w:hint="eastAsia" w:ascii="楷体_GB2312" w:hAnsi="楷体_GB2312" w:eastAsia="楷体_GB2312" w:cs="楷体_GB2312"/>
          <w:b/>
          <w:bCs/>
          <w:spacing w:val="5"/>
          <w:sz w:val="28"/>
          <w:szCs w:val="28"/>
          <w:lang w:val="en-US" w:eastAsia="zh-CN"/>
        </w:rPr>
        <w:t>1.5信息化水平</w:t>
      </w:r>
      <w:bookmarkEnd w:id="86"/>
      <w:bookmarkEnd w:id="87"/>
      <w:bookmarkEnd w:id="88"/>
      <w:bookmarkEnd w:id="89"/>
      <w:bookmarkEnd w:id="90"/>
      <w:bookmarkEnd w:id="91"/>
      <w:bookmarkEnd w:id="92"/>
      <w:bookmarkEnd w:id="93"/>
      <w:bookmarkEnd w:id="94"/>
      <w:bookmarkEnd w:id="95"/>
      <w:bookmarkStart w:id="96" w:name="_Toc8993"/>
    </w:p>
    <w:p w14:paraId="2E2B308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具备能够应用现代教育技术手段，实施现代远程职业教育及学校管理信息化所需的软、硬件设施、设备。其中，配备2个计算机机房（笔记本40台，台式计算机60台）供计算机专业学生进行实训实操，同时还设有电子商务直播室，拥有总计算机量达到200台，每百生计算机量大于15台。</w:t>
      </w:r>
      <w:bookmarkEnd w:id="96"/>
    </w:p>
    <w:p w14:paraId="6F6E203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both"/>
        <w:textAlignment w:val="baseline"/>
        <w:rPr>
          <w:rFonts w:hint="eastAsia" w:ascii="楷体_GB2312" w:hAnsi="楷体_GB2312" w:eastAsia="楷体_GB2312" w:cs="楷体_GB2312"/>
          <w:sz w:val="28"/>
          <w:szCs w:val="28"/>
        </w:rPr>
      </w:pPr>
      <w:r>
        <w:rPr>
          <w:rFonts w:hint="eastAsia" w:ascii="楷体_GB2312" w:hAnsi="楷体_GB2312" w:eastAsia="楷体_GB2312" w:cs="楷体_GB2312"/>
          <w:position w:val="-40"/>
          <w:sz w:val="28"/>
          <w:szCs w:val="28"/>
        </w:rPr>
        <w:drawing>
          <wp:inline distT="0" distB="0" distL="0" distR="0">
            <wp:extent cx="5039995" cy="1278255"/>
            <wp:effectExtent l="0" t="0" r="8255" b="17145"/>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3"/>
                    <a:stretch>
                      <a:fillRect/>
                    </a:stretch>
                  </pic:blipFill>
                  <pic:spPr>
                    <a:xfrm>
                      <a:off x="0" y="0"/>
                      <a:ext cx="5039995" cy="1278636"/>
                    </a:xfrm>
                    <a:prstGeom prst="rect">
                      <a:avLst/>
                    </a:prstGeom>
                  </pic:spPr>
                </pic:pic>
              </a:graphicData>
            </a:graphic>
          </wp:inline>
        </w:drawing>
      </w:r>
    </w:p>
    <w:p w14:paraId="32269A59">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eastAsia="zh-CN"/>
        </w:rPr>
      </w:pPr>
      <w:bookmarkStart w:id="97" w:name="bookmark75"/>
      <w:bookmarkEnd w:id="97"/>
      <w:bookmarkStart w:id="98" w:name="_Toc8816"/>
      <w:bookmarkStart w:id="99" w:name="_Toc30227"/>
      <w:bookmarkStart w:id="100" w:name="_Toc25732"/>
      <w:bookmarkStart w:id="101" w:name="_Toc25276"/>
      <w:bookmarkStart w:id="102" w:name="_Toc14829"/>
      <w:bookmarkStart w:id="103" w:name="_Toc7409"/>
      <w:bookmarkStart w:id="104" w:name="_Toc26591"/>
      <w:bookmarkStart w:id="105" w:name="_Toc20855"/>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1-1</w:t>
      </w:r>
      <w:r>
        <w:rPr>
          <w:rFonts w:hint="eastAsia" w:ascii="黑体" w:hAnsi="黑体" w:eastAsia="黑体" w:cs="黑体"/>
          <w:b w:val="0"/>
          <w:bCs w:val="0"/>
          <w:sz w:val="21"/>
          <w:szCs w:val="21"/>
          <w:lang w:eastAsia="zh-CN"/>
        </w:rPr>
        <w:t>学校机房和实训基地</w:t>
      </w:r>
      <w:bookmarkEnd w:id="98"/>
      <w:bookmarkEnd w:id="99"/>
      <w:bookmarkEnd w:id="100"/>
      <w:bookmarkEnd w:id="101"/>
      <w:bookmarkEnd w:id="102"/>
      <w:bookmarkEnd w:id="103"/>
      <w:bookmarkEnd w:id="104"/>
      <w:bookmarkEnd w:id="105"/>
      <w:bookmarkStart w:id="106" w:name="bookmark19"/>
      <w:bookmarkEnd w:id="106"/>
    </w:p>
    <w:p w14:paraId="65030FF7">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107" w:name="_Toc1203"/>
      <w:bookmarkStart w:id="108" w:name="_Toc3310"/>
      <w:bookmarkStart w:id="109" w:name="_Toc20382"/>
      <w:bookmarkStart w:id="110" w:name="_Toc3323"/>
      <w:bookmarkStart w:id="111" w:name="_Toc22683"/>
      <w:bookmarkStart w:id="112" w:name="_Toc4941"/>
      <w:bookmarkStart w:id="113" w:name="_Toc15210"/>
      <w:bookmarkStart w:id="114" w:name="_Toc5686"/>
      <w:bookmarkStart w:id="115" w:name="_Toc28591"/>
      <w:bookmarkStart w:id="116" w:name="_Toc31279"/>
      <w:r>
        <w:rPr>
          <w:rFonts w:hint="eastAsia" w:ascii="楷体_GB2312" w:hAnsi="楷体_GB2312" w:eastAsia="楷体_GB2312" w:cs="楷体_GB2312"/>
          <w:b/>
          <w:bCs/>
          <w:spacing w:val="5"/>
          <w:sz w:val="28"/>
          <w:szCs w:val="28"/>
          <w:lang w:val="en-US" w:eastAsia="zh-CN"/>
        </w:rPr>
        <w:t>1.6实习实训基地</w:t>
      </w:r>
      <w:bookmarkEnd w:id="107"/>
      <w:bookmarkEnd w:id="108"/>
      <w:bookmarkEnd w:id="109"/>
      <w:bookmarkEnd w:id="110"/>
      <w:bookmarkEnd w:id="111"/>
      <w:bookmarkEnd w:id="112"/>
      <w:bookmarkEnd w:id="113"/>
      <w:bookmarkEnd w:id="114"/>
      <w:bookmarkEnd w:id="115"/>
      <w:bookmarkEnd w:id="116"/>
    </w:p>
    <w:p w14:paraId="2BCA89F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bookmarkStart w:id="117" w:name="_Toc29297"/>
      <w:bookmarkStart w:id="118" w:name="_Toc13697"/>
      <w:r>
        <w:rPr>
          <w:rFonts w:hint="eastAsia" w:ascii="仿宋_GB2312" w:hAnsi="仿宋_GB2312" w:eastAsia="仿宋_GB2312" w:cs="仿宋_GB2312"/>
          <w:spacing w:val="7"/>
          <w:sz w:val="28"/>
          <w:szCs w:val="28"/>
          <w:lang w:val="en-US" w:eastAsia="zh-CN"/>
        </w:rPr>
        <w:t>学校具有所开设专业相匹配的实训基地，校企合作的实学校训中心有学校1学校个，部分专业对口、稳定，符合实习实训要求，学校能满足部分学生实习实训的需要。学校正在筹建更多的实习学校实训基地，计划未来能达到每个专业都有对应的实习实训基学校地选择。</w:t>
      </w:r>
      <w:bookmarkEnd w:id="117"/>
      <w:bookmarkEnd w:id="118"/>
      <w:bookmarkStart w:id="119" w:name="bookmark21"/>
      <w:bookmarkEnd w:id="119"/>
    </w:p>
    <w:p w14:paraId="163A1D77">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left="0" w:leftChars="0" w:right="0" w:firstLine="659" w:firstLineChars="200"/>
        <w:textAlignment w:val="baseline"/>
        <w:outlineLvl w:val="0"/>
        <w:rPr>
          <w:rFonts w:hint="eastAsia" w:ascii="黑体" w:hAnsi="黑体" w:eastAsia="黑体" w:cs="黑体"/>
          <w:b/>
          <w:bCs/>
          <w:spacing w:val="4"/>
          <w:sz w:val="32"/>
          <w:szCs w:val="32"/>
          <w:lang w:val="en-US" w:eastAsia="zh-CN"/>
        </w:rPr>
      </w:pPr>
      <w:bookmarkStart w:id="120" w:name="_Toc5535"/>
      <w:bookmarkStart w:id="121" w:name="_Toc13854"/>
      <w:bookmarkStart w:id="122" w:name="_Toc14469"/>
      <w:bookmarkStart w:id="123" w:name="_Toc22419"/>
      <w:bookmarkStart w:id="124" w:name="_Toc29504"/>
      <w:bookmarkStart w:id="125" w:name="_Toc11833"/>
      <w:bookmarkStart w:id="126" w:name="_Toc31085"/>
      <w:bookmarkStart w:id="127" w:name="_Toc24219"/>
      <w:bookmarkStart w:id="128" w:name="_Toc2581"/>
      <w:bookmarkStart w:id="129" w:name="_Toc8759"/>
      <w:r>
        <w:rPr>
          <w:rFonts w:hint="eastAsia" w:ascii="黑体" w:hAnsi="黑体" w:eastAsia="黑体" w:cs="黑体"/>
          <w:b/>
          <w:bCs/>
          <w:spacing w:val="4"/>
          <w:sz w:val="32"/>
          <w:szCs w:val="32"/>
          <w:lang w:val="en-US" w:eastAsia="zh-CN"/>
        </w:rPr>
        <w:t>2人才培养</w:t>
      </w:r>
      <w:bookmarkEnd w:id="120"/>
      <w:bookmarkEnd w:id="121"/>
      <w:bookmarkEnd w:id="122"/>
      <w:bookmarkEnd w:id="123"/>
      <w:bookmarkEnd w:id="124"/>
      <w:bookmarkEnd w:id="125"/>
      <w:bookmarkEnd w:id="126"/>
      <w:bookmarkEnd w:id="127"/>
      <w:bookmarkEnd w:id="128"/>
      <w:bookmarkEnd w:id="129"/>
    </w:p>
    <w:p w14:paraId="72611992">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130" w:name="bookmark23"/>
      <w:bookmarkEnd w:id="130"/>
      <w:bookmarkStart w:id="131" w:name="_Toc26800"/>
      <w:bookmarkStart w:id="132" w:name="_Toc29720"/>
      <w:bookmarkStart w:id="133" w:name="_Toc23032"/>
      <w:bookmarkStart w:id="134" w:name="_Toc30695"/>
      <w:bookmarkStart w:id="135" w:name="_Toc25131"/>
      <w:bookmarkStart w:id="136" w:name="_Toc28625"/>
      <w:bookmarkStart w:id="137" w:name="_Toc10562"/>
      <w:bookmarkStart w:id="138" w:name="_Toc2650"/>
      <w:bookmarkStart w:id="139" w:name="_Toc13939"/>
      <w:bookmarkStart w:id="140" w:name="_Toc2999"/>
      <w:r>
        <w:rPr>
          <w:rFonts w:hint="eastAsia" w:ascii="楷体_GB2312" w:hAnsi="楷体_GB2312" w:eastAsia="楷体_GB2312" w:cs="楷体_GB2312"/>
          <w:b/>
          <w:bCs/>
          <w:spacing w:val="5"/>
          <w:sz w:val="28"/>
          <w:szCs w:val="28"/>
          <w:lang w:val="en-US" w:eastAsia="zh-CN"/>
        </w:rPr>
        <w:t>2.1党建引领</w:t>
      </w:r>
      <w:bookmarkEnd w:id="131"/>
      <w:bookmarkEnd w:id="132"/>
      <w:bookmarkEnd w:id="133"/>
      <w:bookmarkEnd w:id="134"/>
      <w:bookmarkEnd w:id="135"/>
      <w:bookmarkEnd w:id="136"/>
      <w:bookmarkEnd w:id="137"/>
      <w:bookmarkEnd w:id="138"/>
      <w:bookmarkEnd w:id="139"/>
      <w:bookmarkEnd w:id="140"/>
    </w:p>
    <w:p w14:paraId="1BC5F39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default" w:ascii="仿宋_GB2312" w:hAnsi="仿宋_GB2312" w:eastAsia="仿宋_GB2312" w:cs="仿宋_GB2312"/>
          <w:spacing w:val="7"/>
          <w:sz w:val="28"/>
          <w:szCs w:val="28"/>
          <w:lang w:val="en-US" w:eastAsia="zh-CN"/>
        </w:rPr>
        <w:t>郑州青年职业中等专业</w:t>
      </w:r>
      <w:r>
        <w:rPr>
          <w:rFonts w:hint="eastAsia" w:ascii="仿宋_GB2312" w:hAnsi="仿宋_GB2312" w:eastAsia="仿宋_GB2312" w:cs="仿宋_GB2312"/>
          <w:spacing w:val="7"/>
          <w:sz w:val="28"/>
          <w:szCs w:val="28"/>
          <w:lang w:val="en-US" w:eastAsia="zh-CN"/>
        </w:rPr>
        <w:t>学校党委以习近平新时代中国特色社会主义思想为指引，深入贯彻二十大和二十届三中全会精神，通过政治、思想、组织、价值和队伍等多方面引领，全力推动党建与业务深度融合，旨在以高质量党建驱动学校迈向高质量发展新征程。</w:t>
      </w:r>
    </w:p>
    <w:p w14:paraId="681FF0C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深刻领悟党委领导下校长负责制的关键意义，学校党委始终将党建置于引领地位，促进党建与业务协同共进。在强化党委全面领导学校进程中，确保党的领导全方位渗透于教育工作各个环节，为学校高质量发展筑牢根基。充分彰显党委把方向、管大局、作决策、抓班子、带队伍、保落实的核心领导力，切实担当起管党治党与办学治校的政治及主体双重责任，引领学校稳健前行。</w:t>
      </w:r>
    </w:p>
    <w:p w14:paraId="64E2CF8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default" w:ascii="仿宋_GB2312" w:hAnsi="仿宋_GB2312" w:eastAsia="仿宋_GB2312" w:cs="仿宋_GB2312"/>
          <w:spacing w:val="7"/>
          <w:sz w:val="28"/>
          <w:szCs w:val="28"/>
          <w:lang w:val="en-US" w:eastAsia="zh-CN"/>
        </w:rPr>
        <w:t>高标准高质量推进主题教育走深走实，坚持不懈用习近平新时代中国特色社会主义思想凝心铸魂。</w:t>
      </w:r>
      <w:r>
        <w:rPr>
          <w:rFonts w:hint="eastAsia" w:ascii="仿宋_GB2312" w:hAnsi="仿宋_GB2312" w:eastAsia="仿宋_GB2312" w:cs="仿宋_GB2312"/>
          <w:spacing w:val="7"/>
          <w:sz w:val="28"/>
          <w:szCs w:val="28"/>
          <w:lang w:val="en-US" w:eastAsia="zh-CN"/>
        </w:rPr>
        <w:t>把高质量开展主题教育确立为当下首要政治任务，紧紧围绕“学思想、强党性、重实践、建新功”总要求，系统地统筹规划，精细地组织学习，充分发挥表率引领作用，促使广大党员干部于主题教育进程中深刻感悟思想伟力，凝聚起强劲奋进力量。持续强化理论学习，从理论学习中源源不断地汲取精神养分，筑牢理想信念根基，矢志不渝地成为共产主义远大理想与中国特色社会主义共同理想的坚定信仰者与忠实践行者，始终坚持以党的创新理论武装头脑，精准指导实践，有力推动工作开展。</w:t>
      </w:r>
    </w:p>
    <w:p w14:paraId="7993C0C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default" w:ascii="仿宋_GB2312" w:hAnsi="仿宋_GB2312" w:eastAsia="仿宋_GB2312" w:cs="仿宋_GB2312"/>
          <w:spacing w:val="7"/>
          <w:sz w:val="28"/>
          <w:szCs w:val="28"/>
          <w:lang w:val="en-US" w:eastAsia="zh-CN"/>
        </w:rPr>
        <w:t>为发挥党组织在学生发展方面的引领导向作用，学校党总支高度重视学生思想建设指导工作，学校党总支坚持“党建带团建，团建促党建”、“党有号召，团有行动”的原则，始终把学生思想教育发展放在第一要务，</w:t>
      </w:r>
      <w:r>
        <w:rPr>
          <w:rFonts w:hint="eastAsia" w:ascii="仿宋_GB2312" w:hAnsi="仿宋_GB2312" w:eastAsia="仿宋_GB2312" w:cs="仿宋_GB2312"/>
          <w:spacing w:val="7"/>
          <w:sz w:val="28"/>
          <w:szCs w:val="28"/>
          <w:lang w:val="en-US" w:eastAsia="zh-CN"/>
        </w:rPr>
        <w:t>将指导学生成长及发展成效当作衡量党总支工作的关键指标，为此制定并实施了一系列政策与措施，持续推动各类主题教育活动深入开展</w:t>
      </w:r>
      <w:r>
        <w:rPr>
          <w:rFonts w:hint="default" w:ascii="仿宋_GB2312" w:hAnsi="仿宋_GB2312" w:eastAsia="仿宋_GB2312" w:cs="仿宋_GB2312"/>
          <w:spacing w:val="7"/>
          <w:sz w:val="28"/>
          <w:szCs w:val="28"/>
          <w:lang w:val="en-US" w:eastAsia="zh-CN"/>
        </w:rPr>
        <w:t>。</w:t>
      </w:r>
    </w:p>
    <w:p w14:paraId="51499BB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在学习贯彻党的二十大会议精神方面，学校以二十大报告为核心抓手，深入推进党的理论与政策教育。二十大报告明确指出“当代中国青年生逢其时，施展才干的舞台无比广阔，实现梦想的前景无比光明”，同时对广大青年提出“立志做有理想、敢担当、能吃苦、肯奋斗的新时代好青年”的殷切期望。学校借助校园文化建设与系列活动，通过多种形式引导学生深刻领悟二十大要点、重温报告金句、学习会议精神，激励学生在学业上提升科学文化素养，践行奋斗理念；在生活中勇于创新，增强实践能力，弘扬创造精神，努力成为新时代有担当、有理想的优秀青年。</w:t>
      </w:r>
    </w:p>
    <w:p w14:paraId="0118334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依据“为党育人，为国育才”的总体方针，学校秉持生命至上、以人为本的教育理念，将学生发展放在首位，以社会主义核心价值观为引领，完善思想政治工作体系，致力于让思政课真正做到入脑入心。学校制定课堂活动规范，优化育人环境，强化学生思想建设，注重以专业课程教学为依托，深度挖掘专业知识中的德育元素，促进文化课、专业课与思想政治教育的有机融合，使德育如春风化雨般渗透至教学全过程，全面提升学生的思想境界与综合素质，为培养德智体美劳全面发展的社会主义建设者和接班人奠定坚实基础。</w:t>
      </w:r>
    </w:p>
    <w:p w14:paraId="7174C4E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default" w:ascii="仿宋_GB2312" w:hAnsi="仿宋_GB2312" w:eastAsia="仿宋_GB2312" w:cs="仿宋_GB2312"/>
          <w:spacing w:val="7"/>
          <w:sz w:val="28"/>
          <w:szCs w:val="28"/>
          <w:lang w:val="en-US" w:eastAsia="zh-CN"/>
        </w:rPr>
        <w:t>党建引领思想，将良好价值观念融入校园文化。</w:t>
      </w:r>
      <w:r>
        <w:rPr>
          <w:rFonts w:hint="eastAsia" w:ascii="仿宋_GB2312" w:hAnsi="仿宋_GB2312" w:eastAsia="仿宋_GB2312" w:cs="仿宋_GB2312"/>
          <w:spacing w:val="7"/>
          <w:sz w:val="28"/>
          <w:szCs w:val="28"/>
          <w:lang w:val="en-US" w:eastAsia="zh-CN"/>
        </w:rPr>
        <w:t>学校党总支充分发挥党建引领作用，以市教育系统创文工作与第二批习近平新时代中国特色社会主义思想主题教育为重要契机，立足学校实际，积极推进校园文化阵地的守正创新。在目标引领与行为习惯养成教育方面持续发力，将党的二十大精神、习近平新时代中国特色社会主义思想、社会主义核心价值观以及工匠精神深度融入校园文化建设之中，突破传统思想政治教育模式的局限，全力发挥校园文化的育人效能，塑造独特的校园文化风貌，为新时代学校思想文化建设筑牢根基。</w:t>
      </w:r>
    </w:p>
    <w:p w14:paraId="1432D93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在助力学生成长成才方面，学校党总支巧妙地将学生自主成长与党建引领有机融合，构建了“党建+管理育人”模式。针对不同年级学生的特质，精心搭建学习交流平台，全方位涵盖学业进步、品德修养、专业技能提升、创新创业探索、文体艺术熏陶以及职业生涯规划等多个维度，为学生的全面与个性发展开辟广阔空间。同时，依据学生心理健康调查结果，结合其思想动态与管理现状，实施红黄蓝“三色”分类管理。支部委员与党员积极参与，精准关爱，因材施教，切实提升工作效能，为学生的身心健康成长保驾护航，努力培养德智体美劳全面发展的社会主义建设者和接班人。</w:t>
      </w:r>
    </w:p>
    <w:p w14:paraId="23A54AFF">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rPr>
      </w:pPr>
      <w:bookmarkStart w:id="141" w:name="_Toc6746"/>
      <w:bookmarkStart w:id="142" w:name="_Toc5200"/>
      <w:bookmarkStart w:id="143" w:name="_Toc14808"/>
      <w:bookmarkStart w:id="144" w:name="_Toc30185"/>
      <w:bookmarkStart w:id="145" w:name="_Toc22296"/>
      <w:bookmarkStart w:id="146" w:name="_Toc20925"/>
      <w:bookmarkStart w:id="147" w:name="_Toc16615"/>
      <w:bookmarkStart w:id="148" w:name="_Toc8617"/>
      <w:bookmarkStart w:id="149" w:name="_Toc15323"/>
      <w:r>
        <w:rPr>
          <w:rFonts w:hint="eastAsia" w:ascii="仿宋_GB2312" w:hAnsi="仿宋_GB2312" w:eastAsia="仿宋_GB2312" w:cs="仿宋_GB2312"/>
          <w:sz w:val="24"/>
          <w:szCs w:val="24"/>
        </w:rPr>
        <w:t>【案例1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教学党支部</w:t>
      </w:r>
      <w:r>
        <w:rPr>
          <w:rFonts w:hint="eastAsia" w:ascii="仿宋_GB2312" w:hAnsi="仿宋_GB2312" w:eastAsia="仿宋_GB2312" w:cs="仿宋_GB2312"/>
          <w:sz w:val="24"/>
          <w:szCs w:val="24"/>
          <w:lang w:eastAsia="zh-CN"/>
        </w:rPr>
        <w:t>2025</w:t>
      </w:r>
      <w:r>
        <w:rPr>
          <w:rFonts w:hint="eastAsia" w:ascii="仿宋_GB2312" w:hAnsi="仿宋_GB2312" w:eastAsia="仿宋_GB2312" w:cs="仿宋_GB2312"/>
          <w:sz w:val="24"/>
          <w:szCs w:val="24"/>
        </w:rPr>
        <w:t>年工作总结</w:t>
      </w:r>
      <w:bookmarkEnd w:id="141"/>
      <w:bookmarkEnd w:id="142"/>
      <w:bookmarkEnd w:id="143"/>
      <w:bookmarkEnd w:id="144"/>
      <w:bookmarkEnd w:id="145"/>
      <w:bookmarkEnd w:id="146"/>
      <w:bookmarkEnd w:id="147"/>
      <w:bookmarkEnd w:id="148"/>
      <w:bookmarkEnd w:id="149"/>
    </w:p>
    <w:p w14:paraId="1A634FD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96"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4"/>
          <w:sz w:val="24"/>
          <w:szCs w:val="24"/>
          <w:lang w:eastAsia="zh-CN"/>
        </w:rPr>
        <w:t>2025</w:t>
      </w:r>
      <w:r>
        <w:rPr>
          <w:rFonts w:hint="eastAsia" w:ascii="楷体_GB2312" w:hAnsi="楷体_GB2312" w:eastAsia="楷体_GB2312" w:cs="楷体_GB2312"/>
          <w:spacing w:val="4"/>
          <w:sz w:val="24"/>
          <w:szCs w:val="24"/>
        </w:rPr>
        <w:t>年在</w:t>
      </w:r>
      <w:r>
        <w:rPr>
          <w:rFonts w:hint="eastAsia" w:ascii="楷体_GB2312" w:hAnsi="楷体_GB2312" w:eastAsia="楷体_GB2312" w:cs="楷体_GB2312"/>
          <w:spacing w:val="4"/>
          <w:sz w:val="24"/>
          <w:szCs w:val="24"/>
          <w:lang w:eastAsia="zh-CN"/>
        </w:rPr>
        <w:t>郑州青年职业中等专业学校党委的引领下，教学党支部认真学习贯彻党的二十大精神以及习近平总书记系列重要讲话精神，深入推进“弘扬红色文化，传承党的初心使命”主题教育，致力于提升支部党建工作水平。现将2025年教学党支部工作总结如下：</w:t>
      </w:r>
    </w:p>
    <w:p w14:paraId="22A251B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0" w:firstLineChars="200"/>
        <w:textAlignment w:val="baseline"/>
        <w:outlineLvl w:val="2"/>
        <w:rPr>
          <w:rFonts w:hint="eastAsia" w:ascii="楷体_GB2312" w:hAnsi="楷体_GB2312" w:eastAsia="楷体_GB2312" w:cs="楷体_GB2312"/>
          <w:sz w:val="24"/>
          <w:szCs w:val="24"/>
        </w:rPr>
      </w:pPr>
      <w:bookmarkStart w:id="150" w:name="_Toc20975"/>
      <w:bookmarkStart w:id="151" w:name="_Toc16347"/>
      <w:bookmarkStart w:id="152" w:name="_Toc24275"/>
      <w:bookmarkStart w:id="153" w:name="_Toc8950"/>
      <w:bookmarkStart w:id="154" w:name="_Toc1507"/>
      <w:bookmarkStart w:id="155" w:name="_Toc7667"/>
      <w:bookmarkStart w:id="156" w:name="_Toc8542"/>
      <w:bookmarkStart w:id="157" w:name="_Toc453"/>
      <w:r>
        <w:rPr>
          <w:rFonts w:hint="eastAsia" w:ascii="楷体_GB2312" w:hAnsi="楷体_GB2312" w:eastAsia="楷体_GB2312" w:cs="楷体_GB2312"/>
          <w:spacing w:val="5"/>
          <w:sz w:val="24"/>
          <w:szCs w:val="24"/>
        </w:rPr>
        <w:t>一、工作成效</w:t>
      </w:r>
      <w:bookmarkEnd w:id="150"/>
      <w:bookmarkEnd w:id="151"/>
      <w:bookmarkEnd w:id="152"/>
      <w:bookmarkEnd w:id="153"/>
      <w:bookmarkEnd w:id="154"/>
      <w:bookmarkEnd w:id="155"/>
      <w:bookmarkEnd w:id="156"/>
      <w:bookmarkEnd w:id="157"/>
    </w:p>
    <w:p w14:paraId="58DE1CC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outlineLvl w:val="3"/>
        <w:rPr>
          <w:rFonts w:hint="eastAsia" w:ascii="楷体_GB2312" w:hAnsi="楷体_GB2312" w:eastAsia="楷体_GB2312" w:cs="楷体_GB2312"/>
          <w:sz w:val="24"/>
          <w:szCs w:val="24"/>
          <w:lang w:eastAsia="zh-CN"/>
        </w:rPr>
      </w:pPr>
      <w:bookmarkStart w:id="158" w:name="_Toc20636"/>
      <w:r>
        <w:rPr>
          <w:rFonts w:hint="eastAsia" w:ascii="楷体_GB2312" w:hAnsi="楷体_GB2312" w:eastAsia="楷体_GB2312" w:cs="楷体_GB2312"/>
          <w:spacing w:val="8"/>
          <w:sz w:val="24"/>
          <w:szCs w:val="24"/>
        </w:rPr>
        <w:t>（一）加强思想政治教育，打造党性坚定队伍</w:t>
      </w:r>
      <w:r>
        <w:rPr>
          <w:rFonts w:hint="eastAsia" w:ascii="楷体_GB2312" w:hAnsi="楷体_GB2312" w:eastAsia="楷体_GB2312" w:cs="楷体_GB2312"/>
          <w:spacing w:val="1"/>
          <w:sz w:val="24"/>
          <w:szCs w:val="24"/>
          <w:lang w:eastAsia="zh-CN"/>
        </w:rPr>
        <w:t>。</w:t>
      </w:r>
      <w:bookmarkEnd w:id="158"/>
    </w:p>
    <w:p w14:paraId="07D2F3F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outlineLvl w:val="9"/>
        <w:rPr>
          <w:rFonts w:hint="eastAsia" w:ascii="楷体_GB2312" w:hAnsi="楷体_GB2312" w:eastAsia="楷体_GB2312" w:cs="楷体_GB2312"/>
          <w:spacing w:val="8"/>
          <w:sz w:val="24"/>
          <w:szCs w:val="24"/>
        </w:rPr>
      </w:pPr>
      <w:bookmarkStart w:id="159" w:name="_Toc18612"/>
      <w:r>
        <w:rPr>
          <w:rFonts w:hint="eastAsia" w:ascii="楷体_GB2312" w:hAnsi="楷体_GB2312" w:eastAsia="楷体_GB2312" w:cs="楷体_GB2312"/>
          <w:spacing w:val="8"/>
          <w:sz w:val="24"/>
          <w:szCs w:val="24"/>
        </w:rPr>
        <w:t>思想政治教育是共产党人的修身必修课，党员教师要成为教育队伍的标杆，需用党的先进理论武装头脑。教学党支部在支部书记带领下，严格落实“三会一课”制度，强化党支部的政治与思想建设。同时，结合“学习强国”学习活动，积极组织开展支部学习强国活动，促使政治理论学习融入党员教师生活的方方面面，切实加强了党支部的思想政治教育，有力地建设了一支党性坚定的党员队伍。</w:t>
      </w:r>
      <w:bookmarkEnd w:id="159"/>
    </w:p>
    <w:p w14:paraId="12574B6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outlineLvl w:val="3"/>
        <w:rPr>
          <w:rFonts w:hint="eastAsia" w:ascii="楷体_GB2312" w:hAnsi="楷体_GB2312" w:eastAsia="楷体_GB2312" w:cs="楷体_GB2312"/>
          <w:sz w:val="24"/>
          <w:szCs w:val="24"/>
        </w:rPr>
      </w:pPr>
      <w:bookmarkStart w:id="160" w:name="_Toc10185"/>
      <w:r>
        <w:rPr>
          <w:rFonts w:hint="eastAsia" w:ascii="楷体_GB2312" w:hAnsi="楷体_GB2312" w:eastAsia="楷体_GB2312" w:cs="楷体_GB2312"/>
          <w:spacing w:val="8"/>
          <w:sz w:val="24"/>
          <w:szCs w:val="24"/>
        </w:rPr>
        <w:t>（二）认真开展组织生活会，组织民主评议党员</w:t>
      </w:r>
      <w:bookmarkEnd w:id="160"/>
    </w:p>
    <w:p w14:paraId="0D2A911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rPr>
          <w:rFonts w:hint="eastAsia" w:ascii="楷体_GB2312" w:hAnsi="楷体_GB2312" w:eastAsia="楷体_GB2312" w:cs="楷体_GB2312"/>
          <w:spacing w:val="7"/>
          <w:sz w:val="24"/>
          <w:szCs w:val="24"/>
        </w:rPr>
      </w:pPr>
      <w:r>
        <w:rPr>
          <w:rFonts w:hint="eastAsia" w:ascii="楷体_GB2312" w:hAnsi="楷体_GB2312" w:eastAsia="楷体_GB2312" w:cs="楷体_GB2312"/>
          <w:spacing w:val="8"/>
          <w:sz w:val="24"/>
          <w:szCs w:val="24"/>
        </w:rPr>
        <w:t>根据</w:t>
      </w:r>
      <w:r>
        <w:rPr>
          <w:rFonts w:hint="eastAsia" w:ascii="楷体_GB2312" w:hAnsi="楷体_GB2312" w:eastAsia="楷体_GB2312" w:cs="楷体_GB2312"/>
          <w:spacing w:val="8"/>
          <w:sz w:val="24"/>
          <w:szCs w:val="24"/>
          <w:lang w:eastAsia="zh-CN"/>
        </w:rPr>
        <w:t>郑州青年职业中等专业学校</w:t>
      </w:r>
      <w:r>
        <w:rPr>
          <w:rFonts w:hint="eastAsia" w:ascii="楷体_GB2312" w:hAnsi="楷体_GB2312" w:eastAsia="楷体_GB2312" w:cs="楷体_GB2312"/>
          <w:spacing w:val="8"/>
          <w:sz w:val="24"/>
          <w:szCs w:val="24"/>
        </w:rPr>
        <w:t>通知要求，开展党支部组织</w:t>
      </w:r>
      <w:r>
        <w:rPr>
          <w:rFonts w:hint="eastAsia" w:ascii="楷体_GB2312" w:hAnsi="楷体_GB2312" w:eastAsia="楷体_GB2312" w:cs="楷体_GB2312"/>
          <w:spacing w:val="7"/>
          <w:sz w:val="24"/>
          <w:szCs w:val="24"/>
        </w:rPr>
        <w:t>生活会和民主评议党员会议，坚持求真务实，遵循“团结—批评—团结”的方针，切实解决支部与党员自身存在的问题，进一步提升党组织的凝聚力与战斗力。</w:t>
      </w:r>
    </w:p>
    <w:p w14:paraId="544F82D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rPr>
          <w:rFonts w:hint="eastAsia" w:ascii="楷体_GB2312" w:hAnsi="楷体_GB2312" w:eastAsia="楷体_GB2312" w:cs="楷体_GB2312"/>
          <w:spacing w:val="7"/>
          <w:sz w:val="24"/>
          <w:szCs w:val="24"/>
        </w:rPr>
      </w:pPr>
      <w:r>
        <w:rPr>
          <w:rFonts w:hint="eastAsia" w:ascii="楷体_GB2312" w:hAnsi="楷体_GB2312" w:eastAsia="楷体_GB2312" w:cs="楷体_GB2312"/>
          <w:spacing w:val="7"/>
          <w:sz w:val="24"/>
          <w:szCs w:val="24"/>
        </w:rPr>
        <w:t>在会议组织过程中，党员们秉持实事求是的原则，依次进行个人自评与党员互评。互评环节紧密联系实际，针对具体人和具体事，直指问题核心，摒弃空话套话，杜绝表面和气，真正做到红脸出汗、排毒治病。党员们从教学工作、思想作风、党性修养等多个维度深入剖析，挖掘自身不足，诚恳接受他人批评，展现出良好的党内民主氛围。</w:t>
      </w:r>
    </w:p>
    <w:p w14:paraId="04F26DD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rPr>
          <w:rFonts w:hint="eastAsia" w:ascii="楷体_GB2312" w:hAnsi="楷体_GB2312" w:eastAsia="楷体_GB2312" w:cs="楷体_GB2312"/>
          <w:spacing w:val="7"/>
          <w:sz w:val="24"/>
          <w:szCs w:val="24"/>
        </w:rPr>
      </w:pPr>
      <w:r>
        <w:rPr>
          <w:rFonts w:hint="eastAsia" w:ascii="楷体_GB2312" w:hAnsi="楷体_GB2312" w:eastAsia="楷体_GB2312" w:cs="楷体_GB2312"/>
          <w:spacing w:val="7"/>
          <w:sz w:val="24"/>
          <w:szCs w:val="24"/>
        </w:rPr>
        <w:t>随后，支部通过发放测评表的方式，对全体党员进行民主测评，测评结果分为“优秀”“合格”“基本合格”“不合格”四个等级，党员们认真填写《党员民主评议测评表》及《党员民主评议登记表》，确保评议结果客观公正，为后续的党员教育管理提供重要依据。</w:t>
      </w:r>
    </w:p>
    <w:p w14:paraId="2A2923E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0" w:firstLineChars="200"/>
        <w:textAlignment w:val="baseline"/>
        <w:outlineLvl w:val="2"/>
        <w:rPr>
          <w:rFonts w:hint="eastAsia" w:ascii="楷体_GB2312" w:hAnsi="楷体_GB2312" w:eastAsia="楷体_GB2312" w:cs="楷体_GB2312"/>
          <w:spacing w:val="5"/>
          <w:sz w:val="24"/>
          <w:szCs w:val="24"/>
        </w:rPr>
      </w:pPr>
      <w:bookmarkStart w:id="161" w:name="_Toc5346"/>
      <w:bookmarkStart w:id="162" w:name="_Toc19170"/>
      <w:bookmarkStart w:id="163" w:name="_Toc25855"/>
      <w:bookmarkStart w:id="164" w:name="_Toc2782"/>
      <w:bookmarkStart w:id="165" w:name="_Toc14250"/>
      <w:bookmarkStart w:id="166" w:name="_Toc17238"/>
      <w:bookmarkStart w:id="167" w:name="_Toc26425"/>
      <w:bookmarkStart w:id="168" w:name="_Toc29784"/>
      <w:r>
        <w:rPr>
          <w:rFonts w:hint="eastAsia" w:ascii="楷体_GB2312" w:hAnsi="楷体_GB2312" w:eastAsia="楷体_GB2312" w:cs="楷体_GB2312"/>
          <w:spacing w:val="5"/>
          <w:sz w:val="24"/>
          <w:szCs w:val="24"/>
        </w:rPr>
        <w:t>二、存在的不足</w:t>
      </w:r>
      <w:bookmarkEnd w:id="161"/>
      <w:bookmarkEnd w:id="162"/>
      <w:bookmarkEnd w:id="163"/>
      <w:bookmarkEnd w:id="164"/>
      <w:bookmarkEnd w:id="165"/>
      <w:bookmarkEnd w:id="166"/>
      <w:bookmarkEnd w:id="167"/>
      <w:bookmarkEnd w:id="168"/>
    </w:p>
    <w:p w14:paraId="01C4489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8"/>
          <w:sz w:val="24"/>
          <w:szCs w:val="24"/>
        </w:rPr>
        <w:t>教学党支部在学校党委的指导下，认真组织开展学习活动，取得了一些成绩，但在工作中还存在着一些不足。</w:t>
      </w:r>
    </w:p>
    <w:p w14:paraId="1475159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8"/>
          <w:sz w:val="24"/>
          <w:szCs w:val="24"/>
        </w:rPr>
        <w:t>一是理论学习形式较为单一，载体创新不足，学习多依赖传统集中学习、文件宣读模式，缺乏吸引力与互动性，难以充分调动党员积极性，深入理解理论精髓。</w:t>
      </w:r>
    </w:p>
    <w:p w14:paraId="765EB43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jc w:val="left"/>
        <w:textAlignment w:val="baseline"/>
        <w:outlineLvl w:val="9"/>
        <w:rPr>
          <w:rFonts w:hint="eastAsia" w:ascii="楷体_GB2312" w:hAnsi="楷体_GB2312" w:eastAsia="楷体_GB2312" w:cs="楷体_GB2312"/>
          <w:spacing w:val="8"/>
          <w:sz w:val="24"/>
          <w:szCs w:val="24"/>
        </w:rPr>
      </w:pPr>
      <w:bookmarkStart w:id="169" w:name="_Toc19775"/>
      <w:r>
        <w:rPr>
          <w:rFonts w:hint="eastAsia" w:ascii="楷体_GB2312" w:hAnsi="楷体_GB2312" w:eastAsia="楷体_GB2312" w:cs="楷体_GB2312"/>
          <w:spacing w:val="8"/>
          <w:sz w:val="24"/>
          <w:szCs w:val="24"/>
        </w:rPr>
        <w:t>二</w:t>
      </w:r>
      <w:r>
        <w:rPr>
          <w:rFonts w:hint="eastAsia" w:ascii="楷体_GB2312" w:hAnsi="楷体_GB2312" w:eastAsia="楷体_GB2312" w:cs="楷体_GB2312"/>
          <w:spacing w:val="8"/>
          <w:sz w:val="24"/>
          <w:szCs w:val="24"/>
          <w:lang w:eastAsia="zh-CN"/>
        </w:rPr>
        <w:t>是</w:t>
      </w:r>
      <w:r>
        <w:rPr>
          <w:rFonts w:hint="eastAsia" w:ascii="楷体_GB2312" w:hAnsi="楷体_GB2312" w:eastAsia="楷体_GB2312" w:cs="楷体_GB2312"/>
          <w:spacing w:val="8"/>
          <w:sz w:val="24"/>
          <w:szCs w:val="24"/>
        </w:rPr>
        <w:t>入党前后教育衔接不畅，入党后教育管理弱化。由于缺乏严谨的制度规范与监督机制，未能合理分配党员工作任务，导致党员锻炼机会匮乏，先锋模范作用发挥受限。</w:t>
      </w:r>
      <w:bookmarkEnd w:id="169"/>
    </w:p>
    <w:p w14:paraId="1E32AA4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4" w:firstLineChars="200"/>
        <w:jc w:val="left"/>
        <w:textAlignment w:val="baseline"/>
        <w:outlineLvl w:val="9"/>
        <w:rPr>
          <w:rFonts w:hint="eastAsia" w:ascii="楷体_GB2312" w:hAnsi="楷体_GB2312" w:eastAsia="楷体_GB2312" w:cs="楷体_GB2312"/>
          <w:sz w:val="24"/>
          <w:szCs w:val="24"/>
        </w:rPr>
      </w:pPr>
      <w:bookmarkStart w:id="170" w:name="_Toc2334"/>
      <w:r>
        <w:rPr>
          <w:rFonts w:hint="eastAsia" w:ascii="楷体_GB2312" w:hAnsi="楷体_GB2312" w:eastAsia="楷体_GB2312" w:cs="楷体_GB2312"/>
          <w:spacing w:val="6"/>
          <w:sz w:val="24"/>
          <w:szCs w:val="24"/>
        </w:rPr>
        <w:t>三是党群联系不够紧密，互动交流欠缺。党员未能充分深入群众，了解群众需求，党群之间的桥梁纽带作用有待进一步夯实。</w:t>
      </w:r>
      <w:bookmarkEnd w:id="170"/>
    </w:p>
    <w:p w14:paraId="7B2F390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4" w:firstLineChars="200"/>
        <w:textAlignment w:val="baseline"/>
        <w:rPr>
          <w:rFonts w:hint="eastAsia" w:ascii="楷体_GB2312" w:hAnsi="楷体_GB2312" w:eastAsia="楷体_GB2312" w:cs="楷体_GB2312"/>
          <w:spacing w:val="6"/>
          <w:sz w:val="24"/>
          <w:szCs w:val="24"/>
        </w:rPr>
      </w:pPr>
      <w:r>
        <w:rPr>
          <w:rFonts w:hint="eastAsia" w:ascii="楷体_GB2312" w:hAnsi="楷体_GB2312" w:eastAsia="楷体_GB2312" w:cs="楷体_GB2312"/>
          <w:spacing w:val="6"/>
          <w:sz w:val="24"/>
          <w:szCs w:val="24"/>
        </w:rPr>
        <w:t>针对上述问题，教学党支部已制定详尽的202</w:t>
      </w:r>
      <w:r>
        <w:rPr>
          <w:rFonts w:hint="eastAsia" w:ascii="楷体_GB2312" w:hAnsi="楷体_GB2312" w:eastAsia="楷体_GB2312" w:cs="楷体_GB2312"/>
          <w:spacing w:val="6"/>
          <w:sz w:val="24"/>
          <w:szCs w:val="24"/>
          <w:lang w:val="en-US" w:eastAsia="zh-CN"/>
        </w:rPr>
        <w:t>5</w:t>
      </w:r>
      <w:r>
        <w:rPr>
          <w:rFonts w:hint="eastAsia" w:ascii="楷体_GB2312" w:hAnsi="楷体_GB2312" w:eastAsia="楷体_GB2312" w:cs="楷体_GB2312"/>
          <w:spacing w:val="6"/>
          <w:sz w:val="24"/>
          <w:szCs w:val="24"/>
        </w:rPr>
        <w:t>年工作计划，旨在逐一攻克难点，实现党建工作新突破：</w:t>
      </w:r>
    </w:p>
    <w:p w14:paraId="2317AA7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4" w:firstLineChars="200"/>
        <w:textAlignment w:val="baseline"/>
        <w:rPr>
          <w:rFonts w:hint="eastAsia" w:ascii="楷体_GB2312" w:hAnsi="楷体_GB2312" w:eastAsia="楷体_GB2312" w:cs="楷体_GB2312"/>
          <w:spacing w:val="6"/>
          <w:sz w:val="24"/>
          <w:szCs w:val="24"/>
        </w:rPr>
      </w:pPr>
      <w:r>
        <w:rPr>
          <w:rFonts w:hint="eastAsia" w:ascii="楷体_GB2312" w:hAnsi="楷体_GB2312" w:eastAsia="楷体_GB2312" w:cs="楷体_GB2312"/>
          <w:spacing w:val="6"/>
          <w:sz w:val="24"/>
          <w:szCs w:val="24"/>
        </w:rPr>
        <w:t>创新理论学习形式，引入线上线下融合学习模式，利用多媒体资源、红色教育基地实地研学等多元载体，增加学习趣味性与实效性，让理论学习真正入脑入心。</w:t>
      </w:r>
    </w:p>
    <w:p w14:paraId="6CF65F5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4" w:firstLineChars="200"/>
        <w:textAlignment w:val="baseline"/>
        <w:rPr>
          <w:rFonts w:hint="eastAsia" w:ascii="楷体_GB2312" w:hAnsi="楷体_GB2312" w:eastAsia="楷体_GB2312" w:cs="楷体_GB2312"/>
          <w:spacing w:val="6"/>
          <w:sz w:val="24"/>
          <w:szCs w:val="24"/>
        </w:rPr>
      </w:pPr>
      <w:r>
        <w:rPr>
          <w:rFonts w:hint="eastAsia" w:ascii="楷体_GB2312" w:hAnsi="楷体_GB2312" w:eastAsia="楷体_GB2312" w:cs="楷体_GB2312"/>
          <w:spacing w:val="6"/>
          <w:sz w:val="24"/>
          <w:szCs w:val="24"/>
        </w:rPr>
        <w:t>强化党员全链条教育管理，建立健全入党后持续教育制度，明确党员任务分工，设立严格监督考核机制，定期评估党员表现，确保党员在实践中锤炼党性，永葆先进性。</w:t>
      </w:r>
    </w:p>
    <w:p w14:paraId="1969215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4" w:firstLineChars="200"/>
        <w:textAlignment w:val="baseline"/>
        <w:rPr>
          <w:rFonts w:hint="eastAsia" w:ascii="楷体_GB2312" w:hAnsi="楷体_GB2312" w:eastAsia="楷体_GB2312" w:cs="楷体_GB2312"/>
          <w:spacing w:val="6"/>
          <w:sz w:val="24"/>
          <w:szCs w:val="24"/>
        </w:rPr>
      </w:pPr>
      <w:r>
        <w:rPr>
          <w:rFonts w:hint="eastAsia" w:ascii="楷体_GB2312" w:hAnsi="楷体_GB2312" w:eastAsia="楷体_GB2312" w:cs="楷体_GB2312"/>
          <w:spacing w:val="6"/>
          <w:sz w:val="24"/>
          <w:szCs w:val="24"/>
        </w:rPr>
        <w:t>深化党群联系机制，开展常态化党群结对帮扶、志愿服务等活动，搭建党群沟通交流平台，鼓励党员倾听群众呼声，积极回应群众关切，携手共创和谐校园。</w:t>
      </w:r>
    </w:p>
    <w:p w14:paraId="2701302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4"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6"/>
          <w:sz w:val="24"/>
          <w:szCs w:val="24"/>
        </w:rPr>
        <w:t>展望新的一年，教学党支部将以“弘扬红色文化，传承党的初心使命”主题教育为引领，持续加强党政文化建设，以党建促教学，以党性铸师魂，为学校高质量发展贡献坚实的红色力量。</w:t>
      </w:r>
    </w:p>
    <w:p w14:paraId="74C11F62">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rPr>
      </w:pPr>
      <w:bookmarkStart w:id="171" w:name="bookmark101"/>
      <w:bookmarkEnd w:id="171"/>
      <w:bookmarkStart w:id="172" w:name="_Toc15614"/>
      <w:bookmarkStart w:id="173" w:name="_Toc30402"/>
      <w:bookmarkStart w:id="174" w:name="_Toc11549"/>
      <w:bookmarkStart w:id="175" w:name="_Toc3259"/>
      <w:bookmarkStart w:id="176" w:name="_Toc25805"/>
      <w:bookmarkStart w:id="177" w:name="_Toc16226"/>
      <w:bookmarkStart w:id="178" w:name="_Toc12284"/>
      <w:bookmarkStart w:id="179" w:name="_Toc31946"/>
      <w:bookmarkStart w:id="180" w:name="_Toc15051"/>
      <w:r>
        <w:rPr>
          <w:rFonts w:hint="eastAsia" w:ascii="仿宋_GB2312" w:hAnsi="仿宋_GB2312" w:eastAsia="仿宋_GB2312" w:cs="仿宋_GB2312"/>
          <w:sz w:val="24"/>
          <w:szCs w:val="24"/>
        </w:rPr>
        <w:t>【案例2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循党史足迹，筑信念根基，向党旗迈进</w:t>
      </w:r>
      <w:bookmarkEnd w:id="172"/>
      <w:bookmarkEnd w:id="173"/>
      <w:bookmarkEnd w:id="174"/>
      <w:bookmarkEnd w:id="175"/>
      <w:bookmarkEnd w:id="176"/>
      <w:bookmarkEnd w:id="177"/>
      <w:bookmarkEnd w:id="178"/>
      <w:bookmarkEnd w:id="179"/>
      <w:bookmarkEnd w:id="180"/>
    </w:p>
    <w:p w14:paraId="64F833D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72"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2"/>
          <w:sz w:val="24"/>
          <w:szCs w:val="24"/>
          <w:lang w:eastAsia="zh-CN"/>
        </w:rPr>
        <w:t>2025</w:t>
      </w:r>
      <w:r>
        <w:rPr>
          <w:rFonts w:hint="eastAsia" w:ascii="楷体_GB2312" w:hAnsi="楷体_GB2312" w:eastAsia="楷体_GB2312" w:cs="楷体_GB2312"/>
          <w:spacing w:val="-2"/>
          <w:sz w:val="24"/>
          <w:szCs w:val="24"/>
        </w:rPr>
        <w:t>年7月1日是中国共产党建党10</w:t>
      </w:r>
      <w:r>
        <w:rPr>
          <w:rFonts w:hint="eastAsia" w:ascii="楷体_GB2312" w:hAnsi="楷体_GB2312" w:eastAsia="楷体_GB2312" w:cs="楷体_GB2312"/>
          <w:spacing w:val="-2"/>
          <w:sz w:val="24"/>
          <w:szCs w:val="24"/>
          <w:lang w:val="en-US" w:eastAsia="zh-CN"/>
        </w:rPr>
        <w:t>4</w:t>
      </w:r>
      <w:r>
        <w:rPr>
          <w:rFonts w:hint="eastAsia" w:ascii="楷体_GB2312" w:hAnsi="楷体_GB2312" w:eastAsia="楷体_GB2312" w:cs="楷体_GB2312"/>
          <w:spacing w:val="-2"/>
          <w:sz w:val="24"/>
          <w:szCs w:val="24"/>
        </w:rPr>
        <w:t>周年，百年党史，如同一座巍峨的精神灯塔，照亮着共产党人的前行之路，承载着无数先辈们的热血与理想。为深入传承红色基因，赓续共产党人的精神血脉</w:t>
      </w:r>
      <w:r>
        <w:rPr>
          <w:rFonts w:hint="eastAsia" w:ascii="楷体_GB2312" w:hAnsi="楷体_GB2312" w:eastAsia="楷体_GB2312" w:cs="楷体_GB2312"/>
          <w:spacing w:val="-2"/>
          <w:sz w:val="24"/>
          <w:szCs w:val="24"/>
          <w:lang w:eastAsia="zh-CN"/>
        </w:rPr>
        <w:t>郑州青年职业中等专业学校</w:t>
      </w:r>
      <w:r>
        <w:rPr>
          <w:rFonts w:hint="eastAsia" w:ascii="楷体_GB2312" w:hAnsi="楷体_GB2312" w:eastAsia="楷体_GB2312" w:cs="楷体_GB2312"/>
          <w:spacing w:val="8"/>
          <w:sz w:val="24"/>
          <w:szCs w:val="24"/>
        </w:rPr>
        <w:t>党组织开展</w:t>
      </w:r>
      <w:r>
        <w:rPr>
          <w:rFonts w:hint="eastAsia" w:ascii="楷体_GB2312" w:hAnsi="楷体_GB2312" w:eastAsia="楷体_GB2312" w:cs="楷体_GB2312"/>
          <w:spacing w:val="8"/>
          <w:sz w:val="24"/>
          <w:szCs w:val="24"/>
          <w:lang w:eastAsia="zh-CN"/>
        </w:rPr>
        <w:t>“循党史足迹，筑信念根基，向党旗迈进”</w:t>
      </w:r>
      <w:r>
        <w:rPr>
          <w:rFonts w:hint="eastAsia" w:ascii="楷体_GB2312" w:hAnsi="楷体_GB2312" w:eastAsia="楷体_GB2312" w:cs="楷体_GB2312"/>
          <w:spacing w:val="9"/>
          <w:sz w:val="24"/>
          <w:szCs w:val="24"/>
        </w:rPr>
        <w:t>主题党日活动，参加此次活动的有全体党员教师</w:t>
      </w:r>
      <w:r>
        <w:rPr>
          <w:rFonts w:hint="eastAsia" w:ascii="楷体_GB2312" w:hAnsi="楷体_GB2312" w:eastAsia="楷体_GB2312" w:cs="楷体_GB2312"/>
          <w:spacing w:val="9"/>
          <w:sz w:val="24"/>
          <w:szCs w:val="24"/>
          <w:lang w:eastAsia="zh-CN"/>
        </w:rPr>
        <w:t>、</w:t>
      </w:r>
      <w:r>
        <w:rPr>
          <w:rFonts w:hint="eastAsia" w:ascii="楷体_GB2312" w:hAnsi="楷体_GB2312" w:eastAsia="楷体_GB2312" w:cs="楷体_GB2312"/>
          <w:spacing w:val="8"/>
          <w:sz w:val="24"/>
          <w:szCs w:val="24"/>
        </w:rPr>
        <w:t>入党积极分子、团员教师以及全体教职员工。</w:t>
      </w:r>
    </w:p>
    <w:p w14:paraId="72010C1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8"/>
          <w:sz w:val="24"/>
          <w:szCs w:val="24"/>
        </w:rPr>
        <w:t>活动由校长</w:t>
      </w:r>
      <w:r>
        <w:rPr>
          <w:rFonts w:hint="eastAsia" w:ascii="楷体_GB2312" w:hAnsi="楷体_GB2312" w:eastAsia="楷体_GB2312" w:cs="楷体_GB2312"/>
          <w:spacing w:val="8"/>
          <w:sz w:val="24"/>
          <w:szCs w:val="24"/>
          <w:lang w:val="en-US" w:eastAsia="zh-CN"/>
        </w:rPr>
        <w:t>鲁鸿志</w:t>
      </w:r>
      <w:r>
        <w:rPr>
          <w:rFonts w:hint="eastAsia" w:ascii="楷体_GB2312" w:hAnsi="楷体_GB2312" w:eastAsia="楷体_GB2312" w:cs="楷体_GB2312"/>
          <w:spacing w:val="8"/>
          <w:sz w:val="24"/>
          <w:szCs w:val="24"/>
        </w:rPr>
        <w:t>老师主持，共计有四个环节：讲英雄故事，传红色经典；聆听微党课，承百年精神；宣入党誓词</w:t>
      </w:r>
      <w:r>
        <w:rPr>
          <w:rFonts w:hint="eastAsia" w:ascii="楷体_GB2312" w:hAnsi="楷体_GB2312" w:eastAsia="楷体_GB2312" w:cs="楷体_GB2312"/>
          <w:spacing w:val="8"/>
          <w:sz w:val="24"/>
          <w:szCs w:val="24"/>
          <w:lang w:eastAsia="zh-CN"/>
        </w:rPr>
        <w:t>，</w:t>
      </w:r>
      <w:r>
        <w:rPr>
          <w:rFonts w:hint="eastAsia" w:ascii="楷体_GB2312" w:hAnsi="楷体_GB2312" w:eastAsia="楷体_GB2312" w:cs="楷体_GB2312"/>
          <w:spacing w:val="8"/>
          <w:sz w:val="24"/>
          <w:szCs w:val="24"/>
        </w:rPr>
        <w:t>不忘来时路；学党史动员，明责任担当。</w:t>
      </w:r>
    </w:p>
    <w:p w14:paraId="4578EF3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outlineLvl w:val="2"/>
        <w:rPr>
          <w:rFonts w:hint="eastAsia" w:ascii="楷体_GB2312" w:hAnsi="楷体_GB2312" w:eastAsia="楷体_GB2312" w:cs="楷体_GB2312"/>
          <w:sz w:val="24"/>
          <w:szCs w:val="24"/>
        </w:rPr>
      </w:pPr>
      <w:bookmarkStart w:id="181" w:name="_Toc30585"/>
      <w:bookmarkStart w:id="182" w:name="_Toc15906"/>
      <w:bookmarkStart w:id="183" w:name="_Toc26179"/>
      <w:bookmarkStart w:id="184" w:name="_Toc24362"/>
      <w:bookmarkStart w:id="185" w:name="_Toc18841"/>
      <w:bookmarkStart w:id="186" w:name="_Toc8387"/>
      <w:bookmarkStart w:id="187" w:name="_Toc17871"/>
      <w:bookmarkStart w:id="188" w:name="_Toc31063"/>
      <w:bookmarkStart w:id="189" w:name="_Toc28478"/>
      <w:bookmarkStart w:id="190" w:name="_Toc23947"/>
      <w:bookmarkStart w:id="191" w:name="_Toc5555"/>
      <w:r>
        <w:rPr>
          <w:rFonts w:hint="eastAsia" w:ascii="楷体_GB2312" w:hAnsi="楷体_GB2312" w:eastAsia="楷体_GB2312" w:cs="楷体_GB2312"/>
          <w:spacing w:val="7"/>
          <w:sz w:val="24"/>
          <w:szCs w:val="24"/>
        </w:rPr>
        <w:t>一、讲英雄故事，传红色经典</w:t>
      </w:r>
      <w:bookmarkEnd w:id="181"/>
      <w:bookmarkEnd w:id="182"/>
      <w:bookmarkEnd w:id="183"/>
      <w:bookmarkEnd w:id="184"/>
      <w:bookmarkEnd w:id="185"/>
      <w:bookmarkEnd w:id="186"/>
      <w:bookmarkEnd w:id="187"/>
      <w:bookmarkEnd w:id="188"/>
      <w:bookmarkEnd w:id="189"/>
      <w:bookmarkEnd w:id="190"/>
      <w:bookmarkEnd w:id="191"/>
    </w:p>
    <w:p w14:paraId="16E68D1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12" w:firstLineChars="200"/>
        <w:textAlignment w:val="baseline"/>
        <w:outlineLvl w:val="9"/>
        <w:rPr>
          <w:rFonts w:hint="eastAsia" w:ascii="楷体_GB2312" w:hAnsi="楷体_GB2312" w:eastAsia="楷体_GB2312" w:cs="楷体_GB2312"/>
          <w:spacing w:val="8"/>
          <w:sz w:val="24"/>
          <w:szCs w:val="24"/>
        </w:rPr>
      </w:pPr>
      <w:bookmarkStart w:id="192" w:name="_Toc30893"/>
      <w:r>
        <w:rPr>
          <w:rFonts w:hint="eastAsia" w:ascii="楷体_GB2312" w:hAnsi="楷体_GB2312" w:eastAsia="楷体_GB2312" w:cs="楷体_GB2312"/>
          <w:spacing w:val="8"/>
          <w:sz w:val="24"/>
          <w:szCs w:val="24"/>
        </w:rPr>
        <w:t>入党积极分子热情接力，宣讲各有千秋。或以时间叙事，铺开历史长卷；或以典型切入，震撼人心。音乐巧妙烘托，激昂时似冲锋号角，低沉处如艰难坚守。众人仿若置身烽火，刘胡兰、黄继光、长征战士等英雄形象鲜活呈现，大家从中汲取到无畏、坚韧的精神力量，如驱散迷雾的星光，赋予当下奋进的信念勇气。</w:t>
      </w:r>
      <w:bookmarkEnd w:id="192"/>
    </w:p>
    <w:p w14:paraId="6EBF262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outlineLvl w:val="2"/>
        <w:rPr>
          <w:rFonts w:hint="eastAsia" w:ascii="楷体_GB2312" w:hAnsi="楷体_GB2312" w:eastAsia="楷体_GB2312" w:cs="楷体_GB2312"/>
          <w:sz w:val="24"/>
          <w:szCs w:val="24"/>
        </w:rPr>
      </w:pPr>
      <w:bookmarkStart w:id="193" w:name="_Toc21768"/>
      <w:bookmarkStart w:id="194" w:name="_Toc13453"/>
      <w:bookmarkStart w:id="195" w:name="_Toc18828"/>
      <w:bookmarkStart w:id="196" w:name="_Toc22932"/>
      <w:bookmarkStart w:id="197" w:name="_Toc10567"/>
      <w:bookmarkStart w:id="198" w:name="_Toc11506"/>
      <w:bookmarkStart w:id="199" w:name="_Toc2586"/>
      <w:bookmarkStart w:id="200" w:name="_Toc26793"/>
      <w:bookmarkStart w:id="201" w:name="_Toc22919"/>
      <w:bookmarkStart w:id="202" w:name="_Toc3499"/>
      <w:bookmarkStart w:id="203" w:name="_Toc17032"/>
      <w:r>
        <w:rPr>
          <w:rFonts w:hint="eastAsia" w:ascii="楷体_GB2312" w:hAnsi="楷体_GB2312" w:eastAsia="楷体_GB2312" w:cs="楷体_GB2312"/>
          <w:spacing w:val="7"/>
          <w:sz w:val="24"/>
          <w:szCs w:val="24"/>
        </w:rPr>
        <w:t>二、聆听微党课，承百年精神</w:t>
      </w:r>
      <w:bookmarkEnd w:id="193"/>
      <w:bookmarkEnd w:id="194"/>
      <w:bookmarkEnd w:id="195"/>
      <w:bookmarkEnd w:id="196"/>
      <w:bookmarkEnd w:id="197"/>
      <w:bookmarkEnd w:id="198"/>
      <w:bookmarkEnd w:id="199"/>
      <w:bookmarkEnd w:id="200"/>
      <w:bookmarkEnd w:id="201"/>
      <w:bookmarkEnd w:id="202"/>
      <w:bookmarkEnd w:id="203"/>
    </w:p>
    <w:p w14:paraId="56710F6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4" w:firstLineChars="200"/>
        <w:jc w:val="both"/>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6"/>
          <w:sz w:val="24"/>
          <w:szCs w:val="24"/>
        </w:rPr>
        <w:t>“百年征程波澜壮阔，百年初心历久弥坚。”经老师策划，四位党员以朗诵呈《知党史、感党恩、跟党走》微党课。分三部分：先回顾党诞生启航，于风雨中担民族希望；再述新中国建设时攻坚克难、崛起奋进；后讲改革开放党引领腾飞。朗诵声情并茂，众人借此重温党史辉煌，明晰党为民、为国的初心使命及伟大飞跃。</w:t>
      </w:r>
    </w:p>
    <w:p w14:paraId="1888C9E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outlineLvl w:val="9"/>
        <w:rPr>
          <w:rFonts w:hint="eastAsia" w:ascii="楷体_GB2312" w:hAnsi="楷体_GB2312" w:eastAsia="楷体_GB2312" w:cs="楷体_GB2312"/>
          <w:spacing w:val="7"/>
          <w:sz w:val="24"/>
          <w:szCs w:val="24"/>
        </w:rPr>
      </w:pPr>
      <w:bookmarkStart w:id="204" w:name="_Toc12777"/>
      <w:r>
        <w:rPr>
          <w:rFonts w:hint="eastAsia" w:ascii="楷体_GB2312" w:hAnsi="楷体_GB2312" w:eastAsia="楷体_GB2312" w:cs="楷体_GB2312"/>
          <w:spacing w:val="7"/>
          <w:sz w:val="24"/>
          <w:szCs w:val="24"/>
        </w:rPr>
        <w:t>新时代共产党员深知，要从百年党史里汲取奋进力量，怀忠诚、持坚韧、拥无畏，投身新历史特点的伟大斗争。需旗帜鲜明讲政治，学深悟透做实新时代中国特色社会主义思想，将“两个维护”内化于心、外化于行，贯穿修身为政全程，切实树牢“四个意识”，坚定“四个自信”，做到“四个服从”，诠释使命担当。</w:t>
      </w:r>
      <w:bookmarkEnd w:id="204"/>
    </w:p>
    <w:p w14:paraId="56655AF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outlineLvl w:val="2"/>
        <w:rPr>
          <w:rFonts w:hint="eastAsia" w:ascii="楷体_GB2312" w:hAnsi="楷体_GB2312" w:eastAsia="楷体_GB2312" w:cs="楷体_GB2312"/>
          <w:sz w:val="24"/>
          <w:szCs w:val="24"/>
        </w:rPr>
      </w:pPr>
      <w:bookmarkStart w:id="205" w:name="_Toc25686"/>
      <w:bookmarkStart w:id="206" w:name="_Toc28720"/>
      <w:bookmarkStart w:id="207" w:name="_Toc14765"/>
      <w:bookmarkStart w:id="208" w:name="_Toc1854"/>
      <w:bookmarkStart w:id="209" w:name="_Toc8448"/>
      <w:bookmarkStart w:id="210" w:name="_Toc30294"/>
      <w:bookmarkStart w:id="211" w:name="_Toc1762"/>
      <w:bookmarkStart w:id="212" w:name="_Toc18091"/>
      <w:bookmarkStart w:id="213" w:name="_Toc30938"/>
      <w:bookmarkStart w:id="214" w:name="_Toc28702"/>
      <w:bookmarkStart w:id="215" w:name="_Toc29809"/>
      <w:r>
        <w:rPr>
          <w:rFonts w:hint="eastAsia" w:ascii="楷体_GB2312" w:hAnsi="楷体_GB2312" w:eastAsia="楷体_GB2312" w:cs="楷体_GB2312"/>
          <w:spacing w:val="7"/>
          <w:sz w:val="24"/>
          <w:szCs w:val="24"/>
        </w:rPr>
        <w:t>三、宣入党誓词，不忘来时路</w:t>
      </w:r>
      <w:bookmarkEnd w:id="205"/>
      <w:bookmarkEnd w:id="206"/>
      <w:bookmarkEnd w:id="207"/>
      <w:bookmarkEnd w:id="208"/>
      <w:bookmarkEnd w:id="209"/>
      <w:bookmarkEnd w:id="210"/>
      <w:bookmarkEnd w:id="211"/>
      <w:bookmarkEnd w:id="212"/>
      <w:bookmarkEnd w:id="213"/>
      <w:bookmarkEnd w:id="214"/>
      <w:bookmarkEnd w:id="215"/>
    </w:p>
    <w:p w14:paraId="28A7935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0" w:firstLineChars="200"/>
        <w:textAlignment w:val="baseline"/>
        <w:outlineLvl w:val="9"/>
        <w:rPr>
          <w:rFonts w:hint="eastAsia" w:ascii="楷体_GB2312" w:hAnsi="楷体_GB2312" w:eastAsia="楷体_GB2312" w:cs="楷体_GB2312"/>
          <w:spacing w:val="5"/>
          <w:sz w:val="24"/>
          <w:szCs w:val="24"/>
        </w:rPr>
      </w:pPr>
      <w:bookmarkStart w:id="216" w:name="_Toc28644"/>
      <w:r>
        <w:rPr>
          <w:rFonts w:hint="eastAsia" w:ascii="楷体_GB2312" w:hAnsi="楷体_GB2312" w:eastAsia="楷体_GB2312" w:cs="楷体_GB2312"/>
          <w:spacing w:val="5"/>
          <w:sz w:val="24"/>
          <w:szCs w:val="24"/>
        </w:rPr>
        <w:t>入党誓词，那寥寥数语，却蕴含着无穷力量，它既是共产党人矢志不渝的行动指南，更是须臾不可忘却的座右铭。于漫漫征程之中，唯有一次次虔诚地重温誓词，将其精魂融入日常点滴，终身躬身践行，方能时刻对照承诺，如执明镜，细细审视自我。</w:t>
      </w:r>
      <w:bookmarkEnd w:id="216"/>
    </w:p>
    <w:p w14:paraId="5251780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0" w:firstLineChars="200"/>
        <w:textAlignment w:val="baseline"/>
        <w:outlineLvl w:val="9"/>
        <w:rPr>
          <w:rFonts w:hint="eastAsia" w:ascii="楷体_GB2312" w:hAnsi="楷体_GB2312" w:eastAsia="楷体_GB2312" w:cs="楷体_GB2312"/>
          <w:spacing w:val="5"/>
          <w:sz w:val="24"/>
          <w:szCs w:val="24"/>
        </w:rPr>
      </w:pPr>
      <w:bookmarkStart w:id="217" w:name="_Toc30890"/>
      <w:r>
        <w:rPr>
          <w:rFonts w:hint="eastAsia" w:ascii="楷体_GB2312" w:hAnsi="楷体_GB2312" w:eastAsia="楷体_GB2312" w:cs="楷体_GB2312"/>
          <w:spacing w:val="5"/>
          <w:sz w:val="24"/>
          <w:szCs w:val="24"/>
        </w:rPr>
        <w:t>常思精气神是否饱满如初，警觉性有无悄然松懈，脚下道路是否偏离正道，在这般严苛的自省自查中不断校正前行航向，稳稳驶向理想彼岸。支部委员老师振臂引领，全体党员整齐列队，右臂高擎，面向那猎猎招展、鲜艳似火的党旗，誓词如洪钟骤响：“我志愿加入中国共产党……随时准备为党和人民牺牲一切，永不叛党。”刹那间，铿锵之声震彻全场，每一字皆似重锤，直击灵魂深处，党员们目光灼灼，满是忠诚坚毅，借这铮铮誓言，再度向党组织袒露赤诚真心，深植入党初心，笃定奋斗之志。</w:t>
      </w:r>
      <w:bookmarkEnd w:id="217"/>
    </w:p>
    <w:p w14:paraId="0BF5BEC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0" w:firstLineChars="200"/>
        <w:textAlignment w:val="baseline"/>
        <w:outlineLvl w:val="2"/>
        <w:rPr>
          <w:rFonts w:hint="eastAsia" w:ascii="楷体_GB2312" w:hAnsi="楷体_GB2312" w:eastAsia="楷体_GB2312" w:cs="楷体_GB2312"/>
          <w:sz w:val="24"/>
          <w:szCs w:val="24"/>
        </w:rPr>
      </w:pPr>
      <w:bookmarkStart w:id="218" w:name="_Toc27352"/>
      <w:bookmarkStart w:id="219" w:name="_Toc5409"/>
      <w:bookmarkStart w:id="220" w:name="_Toc24521"/>
      <w:bookmarkStart w:id="221" w:name="_Toc11844"/>
      <w:bookmarkStart w:id="222" w:name="_Toc27602"/>
      <w:bookmarkStart w:id="223" w:name="_Toc6588"/>
      <w:bookmarkStart w:id="224" w:name="_Toc31148"/>
      <w:bookmarkStart w:id="225" w:name="_Toc9119"/>
      <w:bookmarkStart w:id="226" w:name="_Toc6354"/>
      <w:bookmarkStart w:id="227" w:name="_Toc24624"/>
      <w:bookmarkStart w:id="228" w:name="_Toc20643"/>
      <w:r>
        <w:rPr>
          <w:rFonts w:hint="eastAsia" w:ascii="楷体_GB2312" w:hAnsi="楷体_GB2312" w:eastAsia="楷体_GB2312" w:cs="楷体_GB2312"/>
          <w:spacing w:val="5"/>
          <w:sz w:val="24"/>
          <w:szCs w:val="24"/>
        </w:rPr>
        <w:t>四、学党史动员，明责任担当</w:t>
      </w:r>
      <w:bookmarkEnd w:id="218"/>
      <w:bookmarkEnd w:id="219"/>
      <w:bookmarkEnd w:id="220"/>
      <w:bookmarkEnd w:id="221"/>
      <w:bookmarkEnd w:id="222"/>
      <w:bookmarkEnd w:id="223"/>
      <w:bookmarkEnd w:id="224"/>
      <w:bookmarkEnd w:id="225"/>
      <w:bookmarkEnd w:id="226"/>
      <w:bookmarkEnd w:id="227"/>
      <w:bookmarkEnd w:id="228"/>
    </w:p>
    <w:p w14:paraId="3E57F5D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在活动尾声，党支部书记展开学党史动员，为全体人员明晰前行路径与使命担当。紧紧围绕“学党史、悟思想、办实事、开新局”这一核心学习主线，书记着重强调，党员同志当全力以赴，在学习进程中卯足干劲提高实效，积极营造浓郁热烈、全员参与的学习氛围。要以史为镜、以史为师，深度挖掘历史长河中的智慧宝藏，从过往经验里淬炼出应对复杂局势、攻坚克难的有效方略；同时，正反双向汲取党史精华，时刻与党中央保持高度一致，坚定不移地向党中央看齐，持续打磨政治判断力、领悟力与执行力，做到思想和行动无偏差。</w:t>
      </w:r>
    </w:p>
    <w:p w14:paraId="2A8B88B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尤为关键的是，书记点明要将党史学习全方位融入育人实践，坚守立德树人根本任务。把党史知识转化为学生易于接受、生动鲜活的表述，春风化雨般引导学生自幼便在心底种下红色种子，培养学生爱党爱国情怀，确保红色基因薪火相传，推动党史学习教育落地生根、开花结果。</w:t>
      </w:r>
    </w:p>
    <w:p w14:paraId="2A12BFC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仿宋_GB2312" w:hAnsi="仿宋_GB2312" w:eastAsia="仿宋_GB2312" w:cs="仿宋_GB2312"/>
          <w:sz w:val="24"/>
          <w:szCs w:val="24"/>
        </w:rPr>
      </w:pPr>
      <w:r>
        <w:rPr>
          <w:rFonts w:hint="eastAsia" w:ascii="楷体_GB2312" w:hAnsi="楷体_GB2312" w:eastAsia="楷体_GB2312" w:cs="楷体_GB2312"/>
          <w:sz w:val="24"/>
          <w:szCs w:val="24"/>
        </w:rPr>
        <w:t>此次活动，全体党员、入党积极分子、团员教师及教职工全身心投入，在英雄事迹学习中震撼灵魂，于微党课聆听中升华认知，借重温入党誓词坚定信仰，通过学党史动员明晰方向，切切实实收获了理想信念的滋养、政治理论的武装、德行修养的提升，从党史富矿中满载继续奋进的力量与智慧源泉。学好党史，让我们得以赓续党的优良传统，强化守初心、担使命的思想与行动自觉，激励大家怀揣教育热忱，笃定教育理念，为教育事业的蓬勃发展凝聚磅礴力量，勇毅前行、矢志不渝。</w:t>
      </w:r>
      <w:bookmarkStart w:id="229" w:name="_Toc29723"/>
      <w:bookmarkStart w:id="230" w:name="_Toc13298"/>
      <w:bookmarkStart w:id="231" w:name="_Toc12135"/>
      <w:bookmarkStart w:id="232" w:name="_Toc8071"/>
      <w:bookmarkStart w:id="233" w:name="_Toc2683"/>
    </w:p>
    <w:bookmarkEnd w:id="229"/>
    <w:bookmarkEnd w:id="230"/>
    <w:bookmarkEnd w:id="231"/>
    <w:bookmarkEnd w:id="232"/>
    <w:bookmarkEnd w:id="233"/>
    <w:p w14:paraId="25689DA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rPr>
          <w:rFonts w:hint="eastAsia" w:ascii="楷体_GB2312" w:hAnsi="楷体_GB2312" w:eastAsia="楷体_GB2312" w:cs="楷体_GB2312"/>
          <w:spacing w:val="7"/>
          <w:sz w:val="24"/>
          <w:szCs w:val="24"/>
        </w:rPr>
      </w:pPr>
    </w:p>
    <w:p w14:paraId="4C802B6F">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234" w:name="bookmark25"/>
      <w:bookmarkEnd w:id="234"/>
      <w:bookmarkStart w:id="235" w:name="bookmark81"/>
      <w:bookmarkEnd w:id="235"/>
      <w:bookmarkStart w:id="236" w:name="_Toc32220"/>
      <w:bookmarkStart w:id="237" w:name="_Toc16262"/>
      <w:bookmarkStart w:id="238" w:name="_Toc1913"/>
      <w:bookmarkStart w:id="239" w:name="_Toc27023"/>
      <w:bookmarkStart w:id="240" w:name="_Toc15472"/>
      <w:bookmarkStart w:id="241" w:name="_Toc26896"/>
      <w:bookmarkStart w:id="242" w:name="_Toc9372"/>
      <w:bookmarkStart w:id="243" w:name="_Toc21943"/>
      <w:bookmarkStart w:id="244" w:name="_Toc22543"/>
      <w:bookmarkStart w:id="245" w:name="_Toc13590"/>
      <w:r>
        <w:rPr>
          <w:rFonts w:hint="eastAsia" w:ascii="楷体_GB2312" w:hAnsi="楷体_GB2312" w:eastAsia="楷体_GB2312" w:cs="楷体_GB2312"/>
          <w:b/>
          <w:bCs/>
          <w:spacing w:val="5"/>
          <w:sz w:val="28"/>
          <w:szCs w:val="28"/>
          <w:lang w:val="en-US" w:eastAsia="zh-CN"/>
        </w:rPr>
        <w:t>2.2办学理念</w:t>
      </w:r>
      <w:bookmarkEnd w:id="236"/>
      <w:bookmarkEnd w:id="237"/>
      <w:bookmarkEnd w:id="238"/>
      <w:bookmarkEnd w:id="239"/>
      <w:bookmarkEnd w:id="240"/>
      <w:bookmarkEnd w:id="241"/>
      <w:bookmarkEnd w:id="242"/>
      <w:bookmarkEnd w:id="243"/>
      <w:bookmarkEnd w:id="244"/>
      <w:bookmarkEnd w:id="245"/>
    </w:p>
    <w:p w14:paraId="53AF553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秉持着聚焦“负责”的办学理念。在对国家负责方面，有着强烈的使命感，积极承担起培养多元化人才、传承技术技能、推动就业创业等关键职责，全力为祖国打造高素质人才与优质成果，力求在人才培养领域铸就精品。而对于社会负责，该校注重培育学生正确的人才观，大力弘扬劳动光荣、技能宝贵、创造伟大的时代风尚，努力营造出“崇尚一技之长、不唯学历凭能力、人人皆可展其才”的浓郁氛围，使学生树立起坚定的自信。</w:t>
      </w:r>
    </w:p>
    <w:p w14:paraId="692B6FC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始终坚持以服务作为办学宗旨，将就业思路当作导向，把专业技能设为核心，沿着工学结合的发展路径前行。以提升质量为关键要点，围绕合作办学、合作育人、合作就业、合作发展这一主线，深入践行“校企合作、工学结合”的人才培养模式，持续深化教育教学改革，着力提高育人质量。一方面重视教学团队的建设工作，以此提升教学水平；另一方面注重内部管理的优化过程，从而增强管理活力；同时关注办学条件的改善事宜，以便提升综合服务能力。学校立足河南，面向全国，以培养兼具较高政治素养与职业技能的优秀学生为根本任务，以强化学生职业能力与专业技能为核心目标，致力于为社会输送急需的技能型人才，进而为社会发展提供更有力的支撑。</w:t>
      </w:r>
    </w:p>
    <w:p w14:paraId="49F4E35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遵循中职教育的办学规律，将办学定位确定为打造一所契合经济社会发展需求、专业优势显著、特色鲜明、校企合作深入、社会服务能力强劲的社会管理与服务类示范性中专学院。核心办学理念涵盖感恩教育，即教导学生感恩党和政府、感恩父母、感恩学校以及感恩时代社会；还有树人教育，强调以人为本、德育为先、技能为本且追求学生的全面发展。</w:t>
      </w:r>
    </w:p>
    <w:p w14:paraId="45A3B84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default" w:ascii="仿宋_GB2312" w:hAnsi="仿宋_GB2312" w:eastAsia="仿宋_GB2312" w:cs="仿宋_GB2312"/>
          <w:spacing w:val="7"/>
          <w:sz w:val="28"/>
          <w:szCs w:val="28"/>
          <w:lang w:val="en-US" w:eastAsia="zh-CN"/>
        </w:rPr>
        <w:t>此外，学校</w:t>
      </w:r>
      <w:r>
        <w:rPr>
          <w:rFonts w:hint="eastAsia" w:ascii="仿宋_GB2312" w:hAnsi="仿宋_GB2312" w:eastAsia="仿宋_GB2312" w:cs="仿宋_GB2312"/>
          <w:spacing w:val="7"/>
          <w:sz w:val="28"/>
          <w:szCs w:val="28"/>
          <w:lang w:val="en-US" w:eastAsia="zh-CN"/>
        </w:rPr>
        <w:t>坚定地遵循“人民至上，生命至上”的育人方针，把建设优雅学习环境列为首要任务，全力塑造“三全育人”（全员、全程、全方位）的管理理念，有效增强师生的获得感与归属感。凭借全体师生的不懈努力与管理强化举措，师生的满意度持续攀升，幸福指数也不断提高。</w:t>
      </w:r>
    </w:p>
    <w:p w14:paraId="12E3B4D1">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246" w:name="bookmark27"/>
      <w:bookmarkEnd w:id="246"/>
      <w:bookmarkStart w:id="247" w:name="_Toc12690"/>
      <w:bookmarkStart w:id="248" w:name="_Toc9446"/>
      <w:bookmarkStart w:id="249" w:name="_Toc8245"/>
      <w:bookmarkStart w:id="250" w:name="_Toc30279"/>
      <w:bookmarkStart w:id="251" w:name="_Toc19195"/>
      <w:bookmarkStart w:id="252" w:name="_Toc2625"/>
      <w:bookmarkStart w:id="253" w:name="_Toc20979"/>
      <w:bookmarkStart w:id="254" w:name="_Toc9118"/>
      <w:bookmarkStart w:id="255" w:name="_Toc17402"/>
      <w:bookmarkStart w:id="256" w:name="_Toc1230"/>
      <w:r>
        <w:rPr>
          <w:rFonts w:hint="eastAsia" w:ascii="楷体_GB2312" w:hAnsi="楷体_GB2312" w:eastAsia="楷体_GB2312" w:cs="楷体_GB2312"/>
          <w:b/>
          <w:bCs/>
          <w:spacing w:val="5"/>
          <w:sz w:val="28"/>
          <w:szCs w:val="28"/>
          <w:lang w:val="en-US" w:eastAsia="zh-CN"/>
        </w:rPr>
        <w:t>2.3立德树人</w:t>
      </w:r>
      <w:bookmarkEnd w:id="247"/>
      <w:bookmarkEnd w:id="248"/>
      <w:bookmarkEnd w:id="249"/>
      <w:bookmarkEnd w:id="250"/>
      <w:bookmarkEnd w:id="251"/>
      <w:bookmarkEnd w:id="252"/>
      <w:bookmarkEnd w:id="253"/>
      <w:bookmarkEnd w:id="254"/>
      <w:bookmarkEnd w:id="255"/>
      <w:bookmarkEnd w:id="256"/>
    </w:p>
    <w:p w14:paraId="50975CB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坚守立德树人根本任务，秉持三全育人理念，紧密契合学校实际与学生特质，借助扎实深入的工作及多元精彩的活动，助力中职学生成长成才。以“文明风采”活动为引领，推动学生全面发展。重视学生德智体美劳综合素质的培育，每日开展大课间操以及班级教室、寝室卫生评比，每周举行国旗下讲话、主题板报评比等活动，且各项工作持续朝着精细化、量化、常态化方向推进，有力促进了学校管理水平提升与学生和谐均衡发展。</w:t>
      </w:r>
    </w:p>
    <w:p w14:paraId="449FC9A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加强组织领导方面，学校充分发挥思想政治工作领导小组的引领作用，强化对思想政治工作的领导，通过印发《党委理论中心组分专题集体学习计划》以及《教职工理论学习安排》，精心部署党委理论中心组和教职工的理论学习。</w:t>
      </w:r>
    </w:p>
    <w:p w14:paraId="17028BB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强化理论武装上，深入推动习近平新时代中国特色社会主义思想进教材、进课堂、进头脑，落实“四级四讲三进”理论学习全覆盖制度。党委理论学习中心组以身作则，党总支（支部）、教职工、全体学生紧跟其后，分别以各自的组织形式开展学习，并通过多种讲解方式，扎实推进党的创新理论宣讲。</w:t>
      </w:r>
    </w:p>
    <w:p w14:paraId="545725AC">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8"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napToGrid w:val="0"/>
          <w:color w:val="000000"/>
          <w:spacing w:val="7"/>
          <w:kern w:val="0"/>
          <w:sz w:val="28"/>
          <w:szCs w:val="28"/>
          <w:lang w:val="en-US" w:eastAsia="zh-CN" w:bidi="ar-SA"/>
        </w:rPr>
        <w:t>建强思政队伍时，注重发挥思政课教师、专职辅导员、班主任、心理健康教师等专兼结合的多层次、全方位思政教师队伍的合力。学校引进5名思政课教师、3名辅导员，实行班主任聘任制并选配25名班主任，同时积极组织辅导员（班主任）培训。</w:t>
      </w:r>
    </w:p>
    <w:p w14:paraId="11E0909D">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textAlignment w:val="baseline"/>
        <w:rPr>
          <w:rFonts w:hint="eastAsia" w:ascii="仿宋_GB2312" w:hAnsi="仿宋_GB2312" w:eastAsia="仿宋_GB2312" w:cs="仿宋_GB2312"/>
          <w:sz w:val="28"/>
          <w:szCs w:val="28"/>
        </w:rPr>
      </w:pPr>
    </w:p>
    <w:p w14:paraId="75C4C45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弘扬校园文化中，学校持续挖掘地域、行业、校本文化资源，促使民族精神和中国精神融入思政课堂、课程思政、艺术教育及日常教育等各个方面，构建起涵盖理念文化、制度文化、环境文化、职业文化、网络文化、行为文化的校园文化体系，以生动故事诠释理论，用具体事物展现文化，培育特色鲜明、温暖人心的文化品牌，助力学子成长成才。</w:t>
      </w:r>
    </w:p>
    <w:p w14:paraId="2D1B8DD6">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rPr>
      </w:pPr>
      <w:bookmarkStart w:id="257" w:name="_Toc3007"/>
      <w:bookmarkStart w:id="258" w:name="_Toc17337"/>
      <w:bookmarkStart w:id="259" w:name="_Toc11816"/>
      <w:bookmarkStart w:id="260" w:name="_Toc1561"/>
      <w:bookmarkStart w:id="261" w:name="_Toc24723"/>
      <w:bookmarkStart w:id="262" w:name="_Toc28839"/>
      <w:bookmarkStart w:id="263" w:name="_Toc9828"/>
      <w:bookmarkStart w:id="264" w:name="_Toc15634"/>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一众炽热心灵，编织一段绮梦传奇</w:t>
      </w:r>
      <w:bookmarkEnd w:id="257"/>
      <w:bookmarkEnd w:id="258"/>
      <w:bookmarkEnd w:id="259"/>
      <w:bookmarkEnd w:id="260"/>
      <w:bookmarkEnd w:id="261"/>
      <w:bookmarkEnd w:id="262"/>
      <w:bookmarkEnd w:id="263"/>
      <w:bookmarkEnd w:id="264"/>
    </w:p>
    <w:p w14:paraId="620BB3D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班级是学生学习和生活的主要环境之一，班文化建设是班级建设的一个重要途径，对于形成良好的班风学风有着不可替代的积极作用。</w:t>
      </w:r>
    </w:p>
    <w:p w14:paraId="5C5DB72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班级文化建设活动重磅开启，紧扣专业特色脉搏，全力赋能学生成长。活动聚焦物质、制度、精神及专业四大文化维度精准发力，各班级深挖专业潜能，百花齐放各展风姿。</w:t>
      </w:r>
    </w:p>
    <w:p w14:paraId="470CBCE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漫步其间，有的班级将“书香墨香”晕染成校园文化长卷，墨韵书香沁人心脾；有的化身反恐防诈先锋营，以生动案例筑牢安全防线；还有的聚焦校园舌尖安全，用黑板报传递食品安全最强音。</w:t>
      </w:r>
    </w:p>
    <w:p w14:paraId="2D694E4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这场文化盛宴，犹如一场及时雨，润泽校园的每一寸土地。对内，雕琢着班级文化的精魂，丰富内涵、提升气质，为学生心灵花园悉心灌溉，滋养优秀品格的萌芽；对外，垒砌起学校文化的新高地，聚沙成塔，让校园处处洋溢着积极奋进的气息，全方位助力学生身心健康与全面发展。</w:t>
      </w:r>
    </w:p>
    <w:p w14:paraId="01807DA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在青春这场盛大的旅程中，最璀璨的年纪里，缘分的丝线牵引着我们相聚于此，皆因那份对知识甘霖的如饥似渴，对梦想彼岸的炽热憧憬。</w:t>
      </w:r>
    </w:p>
    <w:p w14:paraId="5B348D5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班级板报，宛如一方独特的舞台，每一期都绽放着各异光芒。于幕后，它悄然淬炼着学生的诸多关键能力，素材取材于当下环境，似璞玉待琢，学生们需调动组合技巧与发散思维，从专业课本、文化典籍里精挑细选，咀嚼理解后，方能将奇思妙想凝于粉墨，落于板报之上。</w:t>
      </w:r>
    </w:p>
    <w:p w14:paraId="693FE4A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这一方小小的天地，是每个学生的心灵映照。内向学子借此打破缄默，那些平日里隐匿心底的思绪，借色彩线条肆意流淌，为师长洞开一扇了解之窗。团队协作更是其灵魂所在，绘画妙手挥毫泼墨、书法能手笔走龙蛇、布局巧匠规划乾坤，初始或许并无专长，然时光为媒，磨合为介，分工渐明，专长自显，携手共筑班级视觉盛宴。</w:t>
      </w:r>
    </w:p>
    <w:p w14:paraId="0910F5E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倘若将个体喻为书籍，那黑板便是全班合力绘就的斑斓天地，其上内容仿若一座浩渺图书馆，社科智慧、文化珍宝、心理哲思皆在列，更珍贵的，是那独属于学生群体的思维百科全书，满溢青春朝气与无限可能。</w:t>
      </w:r>
    </w:p>
    <w:p w14:paraId="14766832">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center"/>
        <w:textAlignment w:val="baseline"/>
        <w:outlineLvl w:val="9"/>
        <w:rPr>
          <w:rFonts w:ascii="黑体" w:hAnsi="黑体" w:eastAsia="黑体" w:cs="黑体"/>
          <w:spacing w:val="7"/>
          <w:sz w:val="28"/>
          <w:szCs w:val="28"/>
        </w:rPr>
      </w:pPr>
      <w:bookmarkStart w:id="265" w:name="bookmark83"/>
      <w:bookmarkEnd w:id="265"/>
      <w:r>
        <w:rPr>
          <w:sz w:val="28"/>
          <w:szCs w:val="28"/>
        </w:rPr>
        <w:drawing>
          <wp:inline distT="0" distB="0" distL="114300" distR="114300">
            <wp:extent cx="5039995" cy="2381250"/>
            <wp:effectExtent l="0" t="0" r="8255"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4"/>
                    <a:stretch>
                      <a:fillRect/>
                    </a:stretch>
                  </pic:blipFill>
                  <pic:spPr>
                    <a:xfrm>
                      <a:off x="0" y="0"/>
                      <a:ext cx="5039995" cy="2381250"/>
                    </a:xfrm>
                    <a:prstGeom prst="rect">
                      <a:avLst/>
                    </a:prstGeom>
                    <a:noFill/>
                    <a:ln>
                      <a:noFill/>
                    </a:ln>
                  </pic:spPr>
                </pic:pic>
              </a:graphicData>
            </a:graphic>
          </wp:inline>
        </w:drawing>
      </w:r>
    </w:p>
    <w:p w14:paraId="1F8038CB">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sz w:val="28"/>
          <w:szCs w:val="28"/>
        </w:rPr>
      </w:pPr>
      <w:bookmarkStart w:id="266" w:name="_Toc4304"/>
      <w:bookmarkStart w:id="267" w:name="_Toc3812"/>
      <w:bookmarkStart w:id="268" w:name="_Toc14472"/>
      <w:bookmarkStart w:id="269" w:name="_Toc21587"/>
      <w:bookmarkStart w:id="270" w:name="_Toc31940"/>
      <w:bookmarkStart w:id="271" w:name="_Toc1589"/>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2-1</w:t>
      </w:r>
      <w:r>
        <w:rPr>
          <w:rFonts w:hint="eastAsia" w:ascii="黑体" w:hAnsi="黑体" w:eastAsia="黑体" w:cs="黑体"/>
          <w:b w:val="0"/>
          <w:bCs w:val="0"/>
          <w:sz w:val="21"/>
          <w:szCs w:val="21"/>
          <w:lang w:eastAsia="zh-CN"/>
        </w:rPr>
        <w:t>学生漂亮的黑板报</w:t>
      </w:r>
      <w:bookmarkEnd w:id="266"/>
      <w:bookmarkEnd w:id="267"/>
      <w:bookmarkEnd w:id="268"/>
      <w:bookmarkEnd w:id="269"/>
      <w:bookmarkEnd w:id="270"/>
      <w:bookmarkEnd w:id="271"/>
    </w:p>
    <w:p w14:paraId="2541091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仿宋_GB2312" w:hAnsi="仿宋_GB2312" w:eastAsia="仿宋_GB2312" w:cs="仿宋_GB2312"/>
          <w:sz w:val="24"/>
          <w:szCs w:val="24"/>
        </w:rPr>
      </w:pPr>
      <w:r>
        <w:rPr>
          <w:rFonts w:hint="eastAsia" w:ascii="楷体_GB2312" w:hAnsi="楷体_GB2312" w:eastAsia="楷体_GB2312" w:cs="楷体_GB2312"/>
          <w:sz w:val="24"/>
          <w:szCs w:val="24"/>
          <w:lang w:val="en-US" w:eastAsia="en-US"/>
        </w:rPr>
        <w:t>本学年，学校的学生活动精彩纷呈。体育赛事如火如荼，校园篮球赛、排球赛高潮迭起，备受学生追捧；文艺舞台熠熠生辉，元旦汇演尽显青春风采。同时，学校不忘育人根本，积极开展各类知识讲座，从国家资助政策到法律常识、禁毒知识，再到防止性侵，全方位塑造学生正确三观，筑牢安全防线，防震逃生、防溺水演练常抓不懈，全年安全零事故。</w:t>
      </w:r>
      <w:bookmarkStart w:id="272" w:name="_Toc11268"/>
      <w:bookmarkStart w:id="273" w:name="_Toc18941"/>
      <w:bookmarkStart w:id="274" w:name="_Toc18695"/>
      <w:bookmarkStart w:id="275" w:name="_Toc4961"/>
      <w:bookmarkStart w:id="276" w:name="_Toc24095"/>
    </w:p>
    <w:p w14:paraId="29EE6B52">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rPr>
      </w:pPr>
      <w:bookmarkStart w:id="277" w:name="_Toc18518"/>
      <w:bookmarkStart w:id="278" w:name="_Toc27838"/>
      <w:bookmarkStart w:id="279" w:name="_Toc29164"/>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安全教育</w:t>
      </w:r>
      <w:r>
        <w:rPr>
          <w:rFonts w:hint="eastAsia" w:ascii="仿宋_GB2312" w:hAnsi="仿宋_GB2312" w:eastAsia="仿宋_GB2312" w:cs="仿宋_GB2312"/>
          <w:sz w:val="24"/>
          <w:szCs w:val="24"/>
        </w:rPr>
        <w:t>进校园——</w:t>
      </w:r>
      <w:r>
        <w:rPr>
          <w:rFonts w:hint="eastAsia" w:ascii="仿宋_GB2312" w:hAnsi="仿宋_GB2312" w:eastAsia="仿宋_GB2312" w:cs="仿宋_GB2312"/>
          <w:sz w:val="24"/>
          <w:szCs w:val="24"/>
          <w:lang w:val="en-US" w:eastAsia="zh-CN"/>
        </w:rPr>
        <w:t>安全</w:t>
      </w:r>
      <w:r>
        <w:rPr>
          <w:rFonts w:hint="eastAsia" w:ascii="仿宋_GB2312" w:hAnsi="仿宋_GB2312" w:eastAsia="仿宋_GB2312" w:cs="仿宋_GB2312"/>
          <w:sz w:val="24"/>
          <w:szCs w:val="24"/>
        </w:rPr>
        <w:t>宣传讲</w:t>
      </w:r>
      <w:bookmarkStart w:id="280" w:name="bookmark112"/>
      <w:bookmarkEnd w:id="280"/>
      <w:r>
        <w:rPr>
          <w:rFonts w:hint="eastAsia" w:ascii="仿宋_GB2312" w:hAnsi="仿宋_GB2312" w:eastAsia="仿宋_GB2312" w:cs="仿宋_GB2312"/>
          <w:sz w:val="24"/>
          <w:szCs w:val="24"/>
        </w:rPr>
        <w:t>座</w:t>
      </w:r>
      <w:bookmarkEnd w:id="272"/>
      <w:bookmarkEnd w:id="273"/>
      <w:bookmarkEnd w:id="274"/>
      <w:bookmarkEnd w:id="275"/>
      <w:bookmarkEnd w:id="276"/>
      <w:bookmarkEnd w:id="277"/>
      <w:bookmarkEnd w:id="278"/>
      <w:bookmarkEnd w:id="279"/>
    </w:p>
    <w:p w14:paraId="52FBD68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08"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pacing w:val="7"/>
          <w:sz w:val="24"/>
          <w:szCs w:val="24"/>
        </w:rPr>
        <w:t>在校园这片充满活力与希望的净土上，安全始终是高悬的警钟，一刻不容松懈。为切实强化师生的安全防范意识，提升应对各类安全风险的能力，</w:t>
      </w:r>
      <w:r>
        <w:rPr>
          <w:rFonts w:hint="eastAsia" w:ascii="楷体_GB2312" w:hAnsi="楷体_GB2312" w:eastAsia="楷体_GB2312" w:cs="楷体_GB2312"/>
          <w:sz w:val="24"/>
          <w:szCs w:val="24"/>
          <w:lang w:val="en-US" w:eastAsia="zh-CN"/>
        </w:rPr>
        <w:t>11</w:t>
      </w:r>
      <w:r>
        <w:rPr>
          <w:rFonts w:hint="eastAsia" w:ascii="楷体_GB2312" w:hAnsi="楷体_GB2312" w:eastAsia="楷体_GB2312" w:cs="楷体_GB2312"/>
          <w:sz w:val="24"/>
          <w:szCs w:val="24"/>
        </w:rPr>
        <w:t>月16</w:t>
      </w:r>
      <w:r>
        <w:rPr>
          <w:rFonts w:hint="eastAsia" w:ascii="楷体_GB2312" w:hAnsi="楷体_GB2312" w:eastAsia="楷体_GB2312" w:cs="楷体_GB2312"/>
          <w:sz w:val="24"/>
          <w:szCs w:val="24"/>
          <w:lang w:val="en-US" w:eastAsia="zh-CN"/>
        </w:rPr>
        <w:t>日</w:t>
      </w:r>
      <w:r>
        <w:rPr>
          <w:rFonts w:hint="eastAsia" w:ascii="楷体_GB2312" w:hAnsi="楷体_GB2312" w:eastAsia="楷体_GB2312" w:cs="楷体_GB2312"/>
          <w:spacing w:val="7"/>
          <w:sz w:val="24"/>
          <w:szCs w:val="24"/>
        </w:rPr>
        <w:t>一场意义非凡的安全宣传讲座</w:t>
      </w:r>
      <w:r>
        <w:rPr>
          <w:rFonts w:hint="eastAsia" w:ascii="楷体_GB2312" w:hAnsi="楷体_GB2312" w:eastAsia="楷体_GB2312" w:cs="楷体_GB2312"/>
          <w:spacing w:val="7"/>
          <w:sz w:val="24"/>
          <w:szCs w:val="24"/>
          <w:lang w:eastAsia="zh-CN"/>
        </w:rPr>
        <w:t>在</w:t>
      </w:r>
      <w:r>
        <w:rPr>
          <w:rFonts w:hint="eastAsia" w:ascii="楷体_GB2312" w:hAnsi="楷体_GB2312" w:eastAsia="楷体_GB2312" w:cs="楷体_GB2312"/>
          <w:spacing w:val="7"/>
          <w:sz w:val="24"/>
          <w:szCs w:val="24"/>
          <w:lang w:val="en-US" w:eastAsia="zh-CN"/>
        </w:rPr>
        <w:t>郑州青年职业中等专业学校开展</w:t>
      </w:r>
      <w:r>
        <w:rPr>
          <w:rFonts w:hint="eastAsia" w:ascii="楷体_GB2312" w:hAnsi="楷体_GB2312" w:eastAsia="楷体_GB2312" w:cs="楷体_GB2312"/>
          <w:spacing w:val="7"/>
          <w:sz w:val="24"/>
          <w:szCs w:val="24"/>
          <w:lang w:eastAsia="zh-CN"/>
        </w:rPr>
        <w:t>。</w:t>
      </w:r>
      <w:r>
        <w:rPr>
          <w:rFonts w:hint="eastAsia" w:ascii="楷体_GB2312" w:hAnsi="楷体_GB2312" w:eastAsia="楷体_GB2312" w:cs="楷体_GB2312"/>
          <w:sz w:val="24"/>
          <w:szCs w:val="24"/>
        </w:rPr>
        <w:t>讲座伊始，专业讲师登场，神情凝重地分享一系列校园安全事故数据与典型案例。那些因忽视安全细节引发的悲剧，瞬间揪住众人的心：楼梯间拥挤踩踏致伤事件，起因不过是下课铃响后的匆忙推搡；实验室违规操作化学品，瞬间燃起大火，危及生命与校园设施……直观画面冲击视觉，让师生深切领悟安全无小事，隐患常隐匿于日常不经意间。</w:t>
      </w:r>
    </w:p>
    <w:p w14:paraId="58CB326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而在交通安全环节，通过趣味动画和实地交通场景模拟，生动讲解步行、骑车、乘车的安全要点，强调遵守交通规则的重要性，提醒师生们在校外出行时务必眼观六路、耳听八方，莫因一时侥幸酿成大祸。</w:t>
      </w:r>
    </w:p>
    <w:p w14:paraId="42238C1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仿宋" w:hAnsi="仿宋" w:eastAsia="仿宋" w:cs="仿宋"/>
          <w:sz w:val="28"/>
          <w:szCs w:val="28"/>
        </w:rPr>
      </w:pPr>
      <w:r>
        <w:rPr>
          <w:rFonts w:hint="eastAsia" w:ascii="楷体_GB2312" w:hAnsi="楷体_GB2312" w:eastAsia="楷体_GB2312" w:cs="楷体_GB2312"/>
          <w:sz w:val="24"/>
          <w:szCs w:val="24"/>
          <w:lang w:eastAsia="zh-CN"/>
        </w:rPr>
        <w:t>在</w:t>
      </w:r>
      <w:r>
        <w:rPr>
          <w:rFonts w:hint="eastAsia" w:ascii="楷体_GB2312" w:hAnsi="楷体_GB2312" w:eastAsia="楷体_GB2312" w:cs="楷体_GB2312"/>
          <w:sz w:val="24"/>
          <w:szCs w:val="24"/>
          <w:lang w:val="en-US" w:eastAsia="zh-CN"/>
        </w:rPr>
        <w:t>安全急救演练时，讲</w:t>
      </w:r>
      <w:r>
        <w:rPr>
          <w:rFonts w:hint="eastAsia" w:ascii="楷体_GB2312" w:hAnsi="楷体_GB2312" w:eastAsia="楷体_GB2312" w:cs="楷体_GB2312"/>
          <w:sz w:val="24"/>
          <w:szCs w:val="24"/>
        </w:rPr>
        <w:t>师蹲于人体模型旁，双手精准交叠，沉稳发力按压，口中数着节拍，将按压深度、频率等关键要点娓娓道来。师生们目不转睛围拢观看后，分组实操。起初大家紧张又生疏，在讲师悉心的手把手指导下，渐渐动作规范，每一次按压都似在赋予模型“重生”力量，让众人真切体会到这一操作蕴含的救命希望。</w:t>
      </w:r>
    </w:p>
    <w:p w14:paraId="7DB4DD1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rPr>
          <w:rFonts w:hint="eastAsia" w:eastAsia="仿宋"/>
          <w:sz w:val="21"/>
          <w:szCs w:val="21"/>
          <w:lang w:eastAsia="zh-CN"/>
        </w:rPr>
      </w:pPr>
      <w:r>
        <w:rPr>
          <w:rFonts w:hint="eastAsia" w:eastAsia="仿宋"/>
          <w:sz w:val="21"/>
          <w:szCs w:val="21"/>
          <w:lang w:eastAsia="zh-CN"/>
        </w:rPr>
        <w:drawing>
          <wp:inline distT="0" distB="0" distL="114300" distR="114300">
            <wp:extent cx="5039995" cy="3779520"/>
            <wp:effectExtent l="0" t="0" r="8255" b="11430"/>
            <wp:docPr id="1" name="图片 1" descr="dc4a8f401de7bb774a385360b85f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4a8f401de7bb774a385360b85faf1"/>
                    <pic:cNvPicPr>
                      <a:picLocks noChangeAspect="1"/>
                    </pic:cNvPicPr>
                  </pic:nvPicPr>
                  <pic:blipFill>
                    <a:blip r:embed="rId15"/>
                    <a:stretch>
                      <a:fillRect/>
                    </a:stretch>
                  </pic:blipFill>
                  <pic:spPr>
                    <a:xfrm>
                      <a:off x="0" y="0"/>
                      <a:ext cx="5039995" cy="3779520"/>
                    </a:xfrm>
                    <a:prstGeom prst="rect">
                      <a:avLst/>
                    </a:prstGeom>
                  </pic:spPr>
                </pic:pic>
              </a:graphicData>
            </a:graphic>
          </wp:inline>
        </w:drawing>
      </w:r>
    </w:p>
    <w:p w14:paraId="6386E4B6">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val="en-US" w:eastAsia="zh-CN"/>
        </w:rPr>
      </w:pPr>
      <w:bookmarkStart w:id="281" w:name="bookmark85"/>
      <w:bookmarkEnd w:id="281"/>
      <w:bookmarkStart w:id="282" w:name="_Toc16182"/>
      <w:bookmarkStart w:id="283" w:name="_Toc2993"/>
      <w:bookmarkStart w:id="284" w:name="_Toc21607"/>
      <w:bookmarkStart w:id="285" w:name="_Toc22976"/>
      <w:bookmarkStart w:id="286" w:name="_Toc23486"/>
      <w:bookmarkStart w:id="287" w:name="_Toc29045"/>
      <w:bookmarkStart w:id="288" w:name="_Toc14344"/>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2-2急救实战演练</w:t>
      </w:r>
      <w:bookmarkEnd w:id="282"/>
      <w:bookmarkEnd w:id="283"/>
      <w:bookmarkEnd w:id="284"/>
      <w:bookmarkEnd w:id="285"/>
      <w:bookmarkEnd w:id="286"/>
      <w:bookmarkEnd w:id="287"/>
      <w:bookmarkEnd w:id="288"/>
    </w:p>
    <w:p w14:paraId="62DCC18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讲互动环节更是将讲座氛围推向高潮，学生们踊跃提问，从宿舍用电安全隐患排查到遭遇网络敲诈后的应急处理，嘉宾一一耐心作答，现场答疑解惑，帮助师生们将安全知识彻底消化吸收。</w:t>
      </w:r>
    </w:p>
    <w:p w14:paraId="2B3847C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这场安全宣传讲座照亮了校园安全前行的道路，让安全意识深深扎根于每一位师生心中，化作日常行动的准则，为构建平安校园筑牢坚实根基，护佑莘莘学子在求知逐梦旅程中无安全之忧，扬帆远航。</w:t>
      </w:r>
    </w:p>
    <w:p w14:paraId="50B4B99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582" w:firstLineChars="200"/>
        <w:textAlignment w:val="baseline"/>
        <w:outlineLvl w:val="1"/>
        <w:rPr>
          <w:rFonts w:hint="default" w:ascii="楷体_GB2312" w:hAnsi="楷体_GB2312" w:eastAsia="楷体_GB2312" w:cs="楷体_GB2312"/>
          <w:b/>
          <w:bCs/>
          <w:sz w:val="28"/>
          <w:szCs w:val="28"/>
          <w:lang w:val="en-US" w:eastAsia="zh-CN"/>
        </w:rPr>
      </w:pPr>
      <w:bookmarkStart w:id="289" w:name="bookmark87"/>
      <w:bookmarkEnd w:id="289"/>
      <w:bookmarkStart w:id="290" w:name="bookmark29"/>
      <w:bookmarkEnd w:id="290"/>
      <w:bookmarkStart w:id="291" w:name="_Toc2936"/>
      <w:bookmarkStart w:id="292" w:name="_Toc12316"/>
      <w:bookmarkStart w:id="293" w:name="_Toc25274"/>
      <w:bookmarkStart w:id="294" w:name="_Toc14089"/>
      <w:bookmarkStart w:id="295" w:name="_Toc18271"/>
      <w:bookmarkStart w:id="296" w:name="_Toc28393"/>
      <w:bookmarkStart w:id="297" w:name="_Toc25744"/>
      <w:bookmarkStart w:id="298" w:name="_Toc19792"/>
      <w:bookmarkStart w:id="299" w:name="_Toc25713"/>
      <w:bookmarkStart w:id="300" w:name="_Toc27461"/>
      <w:r>
        <w:rPr>
          <w:rFonts w:hint="eastAsia" w:ascii="楷体_GB2312" w:hAnsi="楷体_GB2312" w:eastAsia="楷体_GB2312" w:cs="楷体_GB2312"/>
          <w:b/>
          <w:bCs/>
          <w:spacing w:val="5"/>
          <w:sz w:val="28"/>
          <w:szCs w:val="28"/>
          <w:lang w:val="en-US" w:eastAsia="zh-CN"/>
        </w:rPr>
        <w:t>2.4铸魂启智</w:t>
      </w:r>
      <w:bookmarkEnd w:id="291"/>
      <w:bookmarkEnd w:id="292"/>
      <w:bookmarkEnd w:id="293"/>
      <w:bookmarkEnd w:id="294"/>
      <w:bookmarkEnd w:id="295"/>
      <w:bookmarkEnd w:id="296"/>
      <w:bookmarkEnd w:id="297"/>
      <w:bookmarkEnd w:id="298"/>
      <w:bookmarkEnd w:id="299"/>
      <w:bookmarkEnd w:id="300"/>
    </w:p>
    <w:p w14:paraId="55C7110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outlineLvl w:val="2"/>
        <w:rPr>
          <w:rFonts w:hint="eastAsia" w:ascii="仿宋_GB2312" w:hAnsi="仿宋_GB2312" w:eastAsia="仿宋_GB2312" w:cs="仿宋_GB2312"/>
          <w:spacing w:val="7"/>
          <w:sz w:val="28"/>
          <w:szCs w:val="28"/>
          <w:lang w:val="en-US" w:eastAsia="zh-CN"/>
        </w:rPr>
      </w:pPr>
      <w:bookmarkStart w:id="301" w:name="_Toc13183"/>
      <w:bookmarkStart w:id="302" w:name="_Toc32249"/>
      <w:bookmarkStart w:id="303" w:name="_Toc17619"/>
      <w:bookmarkStart w:id="304" w:name="_Toc2160"/>
      <w:bookmarkStart w:id="305" w:name="_Toc5238"/>
      <w:bookmarkStart w:id="306" w:name="_Toc16005"/>
      <w:bookmarkStart w:id="307" w:name="_Toc593"/>
      <w:bookmarkStart w:id="308" w:name="_Toc11731"/>
      <w:bookmarkStart w:id="309" w:name="_Toc25206"/>
      <w:r>
        <w:rPr>
          <w:rFonts w:hint="eastAsia" w:ascii="仿宋_GB2312" w:hAnsi="仿宋_GB2312" w:eastAsia="仿宋_GB2312" w:cs="仿宋_GB2312"/>
          <w:spacing w:val="7"/>
          <w:sz w:val="28"/>
          <w:szCs w:val="28"/>
          <w:lang w:val="en-US" w:eastAsia="zh-CN"/>
        </w:rPr>
        <w:t>2.4.1思想引领筑牢学生信念根基</w:t>
      </w:r>
      <w:bookmarkEnd w:id="301"/>
      <w:bookmarkEnd w:id="302"/>
      <w:bookmarkEnd w:id="303"/>
      <w:bookmarkEnd w:id="304"/>
      <w:bookmarkEnd w:id="305"/>
      <w:bookmarkEnd w:id="306"/>
      <w:bookmarkEnd w:id="307"/>
      <w:bookmarkEnd w:id="308"/>
      <w:bookmarkEnd w:id="309"/>
    </w:p>
    <w:p w14:paraId="0B67E49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eastAsia" w:ascii="仿宋_GB2312" w:hAnsi="仿宋_GB2312" w:eastAsia="仿宋_GB2312" w:cs="仿宋_GB2312"/>
          <w:spacing w:val="7"/>
          <w:sz w:val="28"/>
          <w:szCs w:val="28"/>
          <w:lang w:val="en-US" w:eastAsia="zh-CN"/>
        </w:rPr>
        <w:t>学校</w:t>
      </w:r>
      <w:r>
        <w:rPr>
          <w:rFonts w:hint="default" w:ascii="仿宋_GB2312" w:hAnsi="仿宋_GB2312" w:eastAsia="仿宋_GB2312" w:cs="仿宋_GB2312"/>
          <w:spacing w:val="7"/>
          <w:sz w:val="28"/>
          <w:szCs w:val="28"/>
          <w:lang w:val="en-US" w:eastAsia="zh-CN"/>
        </w:rPr>
        <w:t>高度重视学生思想政治教育，将其作为人才培养的核心任务。通过深入学习党的二十大精神，积极开展“思想旗帜”“坚强核心”“强国建设”等主题教育活动，引导学生树立正确的世界观、人生观和价值观。组织</w:t>
      </w:r>
      <w:r>
        <w:rPr>
          <w:rFonts w:hint="eastAsia" w:ascii="仿宋_GB2312" w:hAnsi="仿宋_GB2312" w:eastAsia="仿宋_GB2312" w:cs="仿宋_GB2312"/>
          <w:spacing w:val="7"/>
          <w:sz w:val="28"/>
          <w:szCs w:val="28"/>
          <w:lang w:val="en-US" w:eastAsia="zh-CN"/>
        </w:rPr>
        <w:t>学生</w:t>
      </w:r>
      <w:r>
        <w:rPr>
          <w:rFonts w:hint="default" w:ascii="仿宋_GB2312" w:hAnsi="仿宋_GB2312" w:eastAsia="仿宋_GB2312" w:cs="仿宋_GB2312"/>
          <w:spacing w:val="7"/>
          <w:sz w:val="28"/>
          <w:szCs w:val="28"/>
          <w:lang w:val="en-US" w:eastAsia="zh-CN"/>
        </w:rPr>
        <w:t>参观</w:t>
      </w:r>
      <w:r>
        <w:rPr>
          <w:rFonts w:hint="eastAsia" w:ascii="仿宋_GB2312" w:hAnsi="仿宋_GB2312" w:eastAsia="仿宋_GB2312" w:cs="仿宋_GB2312"/>
          <w:spacing w:val="7"/>
          <w:sz w:val="28"/>
          <w:szCs w:val="28"/>
          <w:lang w:val="en-US" w:eastAsia="zh-CN"/>
        </w:rPr>
        <w:t>党史</w:t>
      </w:r>
      <w:r>
        <w:rPr>
          <w:rFonts w:hint="default" w:ascii="仿宋_GB2312" w:hAnsi="仿宋_GB2312" w:eastAsia="仿宋_GB2312" w:cs="仿宋_GB2312"/>
          <w:spacing w:val="7"/>
          <w:sz w:val="28"/>
          <w:szCs w:val="28"/>
          <w:lang w:val="en-US" w:eastAsia="zh-CN"/>
        </w:rPr>
        <w:t>馆、校史馆</w:t>
      </w:r>
      <w:r>
        <w:rPr>
          <w:rFonts w:hint="eastAsia" w:ascii="仿宋_GB2312" w:hAnsi="仿宋_GB2312" w:eastAsia="仿宋_GB2312" w:cs="仿宋_GB2312"/>
          <w:spacing w:val="7"/>
          <w:sz w:val="28"/>
          <w:szCs w:val="28"/>
          <w:lang w:val="en-US" w:eastAsia="zh-CN"/>
        </w:rPr>
        <w:t>等</w:t>
      </w:r>
      <w:r>
        <w:rPr>
          <w:rFonts w:hint="default" w:ascii="仿宋_GB2312" w:hAnsi="仿宋_GB2312" w:eastAsia="仿宋_GB2312" w:cs="仿宋_GB2312"/>
          <w:spacing w:val="7"/>
          <w:sz w:val="28"/>
          <w:szCs w:val="28"/>
          <w:lang w:val="en-US" w:eastAsia="zh-CN"/>
        </w:rPr>
        <w:t>活动，使学生深入了解</w:t>
      </w:r>
      <w:r>
        <w:rPr>
          <w:rFonts w:hint="eastAsia" w:ascii="仿宋_GB2312" w:hAnsi="仿宋_GB2312" w:eastAsia="仿宋_GB2312" w:cs="仿宋_GB2312"/>
          <w:spacing w:val="7"/>
          <w:sz w:val="28"/>
          <w:szCs w:val="28"/>
          <w:lang w:val="en-US" w:eastAsia="zh-CN"/>
        </w:rPr>
        <w:t>党</w:t>
      </w:r>
      <w:r>
        <w:rPr>
          <w:rFonts w:hint="default" w:ascii="仿宋_GB2312" w:hAnsi="仿宋_GB2312" w:eastAsia="仿宋_GB2312" w:cs="仿宋_GB2312"/>
          <w:spacing w:val="7"/>
          <w:sz w:val="28"/>
          <w:szCs w:val="28"/>
          <w:lang w:val="en-US" w:eastAsia="zh-CN"/>
        </w:rPr>
        <w:t>史，</w:t>
      </w:r>
      <w:r>
        <w:rPr>
          <w:rFonts w:hint="eastAsia" w:ascii="仿宋_GB2312" w:hAnsi="仿宋_GB2312" w:eastAsia="仿宋_GB2312" w:cs="仿宋_GB2312"/>
          <w:spacing w:val="7"/>
          <w:sz w:val="28"/>
          <w:szCs w:val="28"/>
          <w:lang w:val="en-US" w:eastAsia="zh-CN"/>
        </w:rPr>
        <w:t>校史，</w:t>
      </w:r>
      <w:r>
        <w:rPr>
          <w:rFonts w:hint="default" w:ascii="仿宋_GB2312" w:hAnsi="仿宋_GB2312" w:eastAsia="仿宋_GB2312" w:cs="仿宋_GB2312"/>
          <w:spacing w:val="7"/>
          <w:sz w:val="28"/>
          <w:szCs w:val="28"/>
          <w:lang w:val="en-US" w:eastAsia="zh-CN"/>
        </w:rPr>
        <w:t>激发爱</w:t>
      </w:r>
      <w:r>
        <w:rPr>
          <w:rFonts w:hint="eastAsia" w:ascii="仿宋_GB2312" w:hAnsi="仿宋_GB2312" w:eastAsia="仿宋_GB2312" w:cs="仿宋_GB2312"/>
          <w:spacing w:val="7"/>
          <w:sz w:val="28"/>
          <w:szCs w:val="28"/>
          <w:lang w:val="en-US" w:eastAsia="zh-CN"/>
        </w:rPr>
        <w:t>党</w:t>
      </w:r>
      <w:r>
        <w:rPr>
          <w:rFonts w:hint="default" w:ascii="仿宋_GB2312" w:hAnsi="仿宋_GB2312" w:eastAsia="仿宋_GB2312" w:cs="仿宋_GB2312"/>
          <w:spacing w:val="7"/>
          <w:sz w:val="28"/>
          <w:szCs w:val="28"/>
          <w:lang w:val="en-US" w:eastAsia="zh-CN"/>
        </w:rPr>
        <w:t>荣校情怀。</w:t>
      </w:r>
    </w:p>
    <w:p w14:paraId="56FAF14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outlineLvl w:val="2"/>
        <w:rPr>
          <w:rFonts w:hint="eastAsia" w:ascii="仿宋_GB2312" w:hAnsi="仿宋_GB2312" w:eastAsia="仿宋_GB2312" w:cs="仿宋_GB2312"/>
          <w:spacing w:val="7"/>
          <w:sz w:val="28"/>
          <w:szCs w:val="28"/>
          <w:lang w:val="en-US" w:eastAsia="zh-CN"/>
        </w:rPr>
      </w:pPr>
      <w:bookmarkStart w:id="310" w:name="_Toc24471"/>
      <w:bookmarkStart w:id="311" w:name="_Toc15078"/>
      <w:bookmarkStart w:id="312" w:name="_Toc32104"/>
      <w:bookmarkStart w:id="313" w:name="_Toc12890"/>
      <w:bookmarkStart w:id="314" w:name="_Toc20722"/>
      <w:bookmarkStart w:id="315" w:name="_Toc22992"/>
      <w:bookmarkStart w:id="316" w:name="_Toc29467"/>
      <w:bookmarkStart w:id="317" w:name="_Toc17614"/>
      <w:bookmarkStart w:id="318" w:name="_Toc22200"/>
      <w:r>
        <w:rPr>
          <w:rFonts w:hint="eastAsia" w:ascii="仿宋_GB2312" w:hAnsi="仿宋_GB2312" w:eastAsia="仿宋_GB2312" w:cs="仿宋_GB2312"/>
          <w:spacing w:val="7"/>
          <w:sz w:val="28"/>
          <w:szCs w:val="28"/>
          <w:lang w:val="en-US" w:eastAsia="zh-CN"/>
        </w:rPr>
        <w:t>2.4.2管理统筹提升育人效能</w:t>
      </w:r>
      <w:bookmarkEnd w:id="310"/>
      <w:bookmarkEnd w:id="311"/>
      <w:bookmarkEnd w:id="312"/>
      <w:bookmarkEnd w:id="313"/>
      <w:bookmarkEnd w:id="314"/>
      <w:bookmarkEnd w:id="315"/>
      <w:bookmarkEnd w:id="316"/>
      <w:bookmarkEnd w:id="317"/>
      <w:bookmarkEnd w:id="318"/>
    </w:p>
    <w:p w14:paraId="2538393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_GB2312" w:hAnsi="仿宋_GB2312" w:eastAsia="仿宋_GB2312" w:cs="仿宋_GB2312"/>
          <w:spacing w:val="7"/>
          <w:sz w:val="28"/>
          <w:szCs w:val="28"/>
          <w:lang w:val="en-US" w:eastAsia="zh-CN"/>
        </w:rPr>
      </w:pPr>
      <w:r>
        <w:rPr>
          <w:rFonts w:hint="default" w:ascii="仿宋_GB2312" w:hAnsi="仿宋_GB2312" w:eastAsia="仿宋_GB2312" w:cs="仿宋_GB2312"/>
          <w:spacing w:val="7"/>
          <w:sz w:val="28"/>
          <w:szCs w:val="28"/>
          <w:lang w:val="en-US" w:eastAsia="zh-CN"/>
        </w:rPr>
        <w:t>在学生管理方面，</w:t>
      </w:r>
      <w:r>
        <w:rPr>
          <w:rFonts w:hint="eastAsia" w:ascii="仿宋_GB2312" w:hAnsi="仿宋_GB2312" w:eastAsia="仿宋_GB2312" w:cs="仿宋_GB2312"/>
          <w:spacing w:val="7"/>
          <w:sz w:val="28"/>
          <w:szCs w:val="28"/>
          <w:lang w:val="en-US" w:eastAsia="zh-CN"/>
        </w:rPr>
        <w:t>学校</w:t>
      </w:r>
      <w:r>
        <w:rPr>
          <w:rFonts w:hint="default" w:ascii="仿宋_GB2312" w:hAnsi="仿宋_GB2312" w:eastAsia="仿宋_GB2312" w:cs="仿宋_GB2312"/>
          <w:spacing w:val="7"/>
          <w:sz w:val="28"/>
          <w:szCs w:val="28"/>
          <w:lang w:val="en-US" w:eastAsia="zh-CN"/>
        </w:rPr>
        <w:t>多措并举。</w:t>
      </w:r>
      <w:r>
        <w:rPr>
          <w:rFonts w:hint="eastAsia" w:ascii="仿宋_GB2312" w:hAnsi="仿宋_GB2312" w:eastAsia="仿宋_GB2312" w:cs="仿宋_GB2312"/>
          <w:spacing w:val="7"/>
          <w:sz w:val="28"/>
          <w:szCs w:val="28"/>
          <w:lang w:val="en-US" w:eastAsia="zh-CN"/>
        </w:rPr>
        <w:t>2025</w:t>
      </w:r>
      <w:r>
        <w:rPr>
          <w:rFonts w:hint="default" w:ascii="仿宋_GB2312" w:hAnsi="仿宋_GB2312" w:eastAsia="仿宋_GB2312" w:cs="仿宋_GB2312"/>
          <w:spacing w:val="7"/>
          <w:sz w:val="28"/>
          <w:szCs w:val="28"/>
          <w:lang w:val="en-US" w:eastAsia="zh-CN"/>
        </w:rPr>
        <w:t>年，召开学生工作例会、辅导员（班主任）学生工作推进会</w:t>
      </w:r>
      <w:r>
        <w:rPr>
          <w:rFonts w:hint="eastAsia" w:ascii="仿宋_GB2312" w:hAnsi="仿宋_GB2312" w:eastAsia="仿宋_GB2312" w:cs="仿宋_GB2312"/>
          <w:spacing w:val="7"/>
          <w:sz w:val="28"/>
          <w:szCs w:val="28"/>
          <w:lang w:val="en-US" w:eastAsia="zh-CN"/>
        </w:rPr>
        <w:t>10</w:t>
      </w:r>
      <w:r>
        <w:rPr>
          <w:rFonts w:hint="default" w:ascii="仿宋_GB2312" w:hAnsi="仿宋_GB2312" w:eastAsia="仿宋_GB2312" w:cs="仿宋_GB2312"/>
          <w:spacing w:val="7"/>
          <w:sz w:val="28"/>
          <w:szCs w:val="28"/>
          <w:lang w:val="en-US" w:eastAsia="zh-CN"/>
        </w:rPr>
        <w:t>余次，明确工作重点，有序推进各项任务。针对家庭经济困难、家庭情况异常、身体健康异常、心理健康异常、受过纪律处分、学业困惑等六类学生进行全面摸排建档，为精准帮扶提供依据，确保学生群体的安全稳定。</w:t>
      </w:r>
    </w:p>
    <w:p w14:paraId="3891189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outlineLvl w:val="2"/>
        <w:rPr>
          <w:rFonts w:hint="eastAsia" w:ascii="仿宋_GB2312" w:hAnsi="仿宋_GB2312" w:eastAsia="仿宋_GB2312" w:cs="仿宋_GB2312"/>
          <w:spacing w:val="7"/>
          <w:sz w:val="28"/>
          <w:szCs w:val="28"/>
          <w:lang w:val="en-US" w:eastAsia="zh-CN"/>
        </w:rPr>
      </w:pPr>
      <w:bookmarkStart w:id="319" w:name="_Toc2437"/>
      <w:bookmarkStart w:id="320" w:name="_Toc21116"/>
      <w:bookmarkStart w:id="321" w:name="_Toc10750"/>
      <w:bookmarkStart w:id="322" w:name="_Toc22767"/>
      <w:bookmarkStart w:id="323" w:name="_Toc15851"/>
      <w:bookmarkStart w:id="324" w:name="_Toc31839"/>
      <w:bookmarkStart w:id="325" w:name="_Toc16967"/>
      <w:bookmarkStart w:id="326" w:name="_Toc9670"/>
      <w:bookmarkStart w:id="327" w:name="_Toc11831"/>
      <w:r>
        <w:rPr>
          <w:rFonts w:hint="eastAsia" w:ascii="仿宋_GB2312" w:hAnsi="仿宋_GB2312" w:eastAsia="仿宋_GB2312" w:cs="仿宋_GB2312"/>
          <w:spacing w:val="7"/>
          <w:sz w:val="28"/>
          <w:szCs w:val="28"/>
          <w:lang w:val="en-US" w:eastAsia="zh-CN"/>
        </w:rPr>
        <w:t>2.4.3育人理念创新与实践拓展</w:t>
      </w:r>
      <w:bookmarkEnd w:id="319"/>
      <w:bookmarkEnd w:id="320"/>
      <w:bookmarkEnd w:id="321"/>
      <w:bookmarkEnd w:id="322"/>
      <w:bookmarkEnd w:id="323"/>
      <w:bookmarkEnd w:id="324"/>
      <w:bookmarkEnd w:id="325"/>
      <w:bookmarkEnd w:id="326"/>
      <w:bookmarkEnd w:id="327"/>
    </w:p>
    <w:p w14:paraId="5959C56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default" w:ascii="仿宋" w:hAnsi="仿宋" w:eastAsia="仿宋" w:cs="仿宋"/>
          <w:spacing w:val="6"/>
          <w:sz w:val="28"/>
          <w:szCs w:val="28"/>
          <w:lang w:val="en-US" w:eastAsia="zh-CN"/>
        </w:rPr>
      </w:pPr>
      <w:r>
        <w:rPr>
          <w:rFonts w:hint="default" w:ascii="仿宋_GB2312" w:hAnsi="仿宋_GB2312" w:eastAsia="仿宋_GB2312" w:cs="仿宋_GB2312"/>
          <w:spacing w:val="7"/>
          <w:sz w:val="28"/>
          <w:szCs w:val="28"/>
          <w:lang w:val="en-US" w:eastAsia="zh-CN"/>
        </w:rPr>
        <w:t>学院深化“三全育人”理念，积极拓展育人渠道。举办“禁毒宣讲进校园，法治护航青春路”法治教育报告会，以鲜活案例敲响禁毒警钟，强化学生法治观念；开展“学习二十大，志愿新征程，青春正当时”学雷锋志愿服务活动，用实际行动践行二十大精神，彰显青年担当；举行“缅怀革命先烈，传承红色基因”祭扫烈士陵园、参观烈士纪念馆等活动，让</w:t>
      </w:r>
      <w:r>
        <w:rPr>
          <w:rFonts w:hint="eastAsia" w:ascii="仿宋_GB2312" w:hAnsi="仿宋_GB2312" w:eastAsia="仿宋_GB2312" w:cs="仿宋_GB2312"/>
          <w:spacing w:val="7"/>
          <w:sz w:val="28"/>
          <w:szCs w:val="28"/>
          <w:lang w:val="en-US" w:eastAsia="zh-CN"/>
        </w:rPr>
        <w:t>学生</w:t>
      </w:r>
      <w:r>
        <w:rPr>
          <w:rFonts w:hint="default" w:ascii="仿宋_GB2312" w:hAnsi="仿宋_GB2312" w:eastAsia="仿宋_GB2312" w:cs="仿宋_GB2312"/>
          <w:spacing w:val="7"/>
          <w:sz w:val="28"/>
          <w:szCs w:val="28"/>
          <w:lang w:val="en-US" w:eastAsia="zh-CN"/>
        </w:rPr>
        <w:t>深入了解革命先烈的英勇事迹和崇高精神，增强爱国主义情感，传承和弘扬红色基因</w:t>
      </w:r>
      <w:r>
        <w:rPr>
          <w:rFonts w:hint="eastAsia" w:ascii="仿宋_GB2312" w:hAnsi="仿宋_GB2312" w:eastAsia="仿宋_GB2312" w:cs="仿宋_GB2312"/>
          <w:spacing w:val="7"/>
          <w:sz w:val="28"/>
          <w:szCs w:val="28"/>
          <w:lang w:val="en-US" w:eastAsia="zh-CN"/>
        </w:rPr>
        <w:t>。</w:t>
      </w:r>
      <w:r>
        <w:rPr>
          <w:rFonts w:hint="default" w:ascii="仿宋_GB2312" w:hAnsi="仿宋_GB2312" w:eastAsia="仿宋_GB2312" w:cs="仿宋_GB2312"/>
          <w:spacing w:val="7"/>
          <w:sz w:val="28"/>
          <w:szCs w:val="28"/>
          <w:lang w:val="en-US" w:eastAsia="zh-CN"/>
        </w:rPr>
        <w:t>推进“数字赋能展风采，急救知识伴我行”主题教育活动，提升学生应对紧急情况的数字化素养与自救互救能力。通过这些活动，整合各方力量，形成强大育人合力。</w:t>
      </w:r>
    </w:p>
    <w:p w14:paraId="438574A0">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1"/>
        <w:rPr>
          <w:rFonts w:hint="eastAsia" w:ascii="仿宋_GB2312" w:hAnsi="仿宋_GB2312" w:eastAsia="仿宋_GB2312" w:cs="仿宋_GB2312"/>
          <w:sz w:val="24"/>
          <w:szCs w:val="24"/>
        </w:rPr>
      </w:pPr>
      <w:bookmarkStart w:id="328" w:name="_Toc30741"/>
      <w:bookmarkStart w:id="329" w:name="_Toc31258"/>
      <w:bookmarkStart w:id="330" w:name="_Toc9950"/>
      <w:bookmarkStart w:id="331" w:name="_Toc25075"/>
      <w:bookmarkStart w:id="332" w:name="_Toc6762"/>
      <w:bookmarkStart w:id="333" w:name="_Toc29525"/>
      <w:bookmarkStart w:id="334" w:name="_Toc29964"/>
      <w:bookmarkStart w:id="335" w:name="_Toc442"/>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缅怀革命先烈，传承红色基因</w:t>
      </w:r>
      <w:bookmarkEnd w:id="328"/>
      <w:bookmarkEnd w:id="329"/>
      <w:bookmarkEnd w:id="330"/>
      <w:bookmarkEnd w:id="331"/>
      <w:bookmarkEnd w:id="332"/>
      <w:bookmarkEnd w:id="333"/>
      <w:bookmarkEnd w:id="334"/>
      <w:bookmarkEnd w:id="335"/>
    </w:p>
    <w:p w14:paraId="6589C56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i w:val="0"/>
          <w:iCs w:val="0"/>
          <w:caps w:val="0"/>
          <w:spacing w:val="0"/>
          <w:sz w:val="24"/>
          <w:szCs w:val="24"/>
          <w:shd w:val="clear" w:fill="FFFFFF"/>
        </w:rPr>
      </w:pPr>
      <w:r>
        <w:rPr>
          <w:rFonts w:hint="eastAsia" w:ascii="楷体_GB2312" w:hAnsi="楷体_GB2312" w:eastAsia="楷体_GB2312" w:cs="楷体_GB2312"/>
          <w:i w:val="0"/>
          <w:iCs w:val="0"/>
          <w:caps w:val="0"/>
          <w:spacing w:val="0"/>
          <w:sz w:val="24"/>
          <w:szCs w:val="24"/>
          <w:shd w:val="clear" w:fill="FFFFFF"/>
          <w:lang w:val="en-US" w:eastAsia="zh-CN"/>
        </w:rPr>
        <w:t>学校</w:t>
      </w:r>
      <w:r>
        <w:rPr>
          <w:rFonts w:hint="eastAsia" w:ascii="楷体_GB2312" w:hAnsi="楷体_GB2312" w:eastAsia="楷体_GB2312" w:cs="楷体_GB2312"/>
          <w:i w:val="0"/>
          <w:iCs w:val="0"/>
          <w:caps w:val="0"/>
          <w:spacing w:val="0"/>
          <w:sz w:val="24"/>
          <w:szCs w:val="24"/>
          <w:shd w:val="clear" w:fill="FFFFFF"/>
        </w:rPr>
        <w:t>举行“缅怀革命先烈，传承红色基因”祭扫烈士陵园、参观烈士纪念馆等活动</w:t>
      </w:r>
      <w:r>
        <w:rPr>
          <w:rFonts w:hint="eastAsia" w:ascii="楷体_GB2312" w:hAnsi="楷体_GB2312" w:eastAsia="楷体_GB2312" w:cs="楷体_GB2312"/>
          <w:i w:val="0"/>
          <w:iCs w:val="0"/>
          <w:caps w:val="0"/>
          <w:spacing w:val="0"/>
          <w:sz w:val="24"/>
          <w:szCs w:val="24"/>
          <w:shd w:val="clear" w:fill="FFFFFF"/>
          <w:lang w:eastAsia="zh-CN"/>
        </w:rPr>
        <w:t>。</w:t>
      </w:r>
      <w:r>
        <w:rPr>
          <w:rFonts w:hint="eastAsia" w:ascii="楷体_GB2312" w:hAnsi="楷体_GB2312" w:eastAsia="楷体_GB2312" w:cs="楷体_GB2312"/>
          <w:i w:val="0"/>
          <w:iCs w:val="0"/>
          <w:caps w:val="0"/>
          <w:spacing w:val="0"/>
          <w:sz w:val="24"/>
          <w:szCs w:val="24"/>
          <w:shd w:val="clear" w:fill="FFFFFF"/>
          <w:lang w:val="en-US" w:eastAsia="zh-CN"/>
        </w:rPr>
        <w:t>让学生</w:t>
      </w:r>
      <w:r>
        <w:rPr>
          <w:rFonts w:hint="eastAsia" w:ascii="楷体_GB2312" w:hAnsi="楷体_GB2312" w:eastAsia="楷体_GB2312" w:cs="楷体_GB2312"/>
          <w:i w:val="0"/>
          <w:iCs w:val="0"/>
          <w:caps w:val="0"/>
          <w:spacing w:val="0"/>
          <w:sz w:val="24"/>
          <w:szCs w:val="24"/>
          <w:shd w:val="clear" w:fill="FFFFFF"/>
        </w:rPr>
        <w:t>深入了解革命先烈的英勇事迹和崇高精神，增强爱国主义情感，传承和弘扬红色基因，珍惜现在的幸福生活。</w:t>
      </w:r>
    </w:p>
    <w:p w14:paraId="75ED7DE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i w:val="0"/>
          <w:iCs w:val="0"/>
          <w:caps w:val="0"/>
          <w:spacing w:val="0"/>
          <w:sz w:val="24"/>
          <w:szCs w:val="24"/>
          <w:shd w:val="clear" w:fill="FFFFFF"/>
        </w:rPr>
      </w:pPr>
      <w:r>
        <w:rPr>
          <w:rFonts w:hint="default" w:ascii="楷体_GB2312" w:hAnsi="楷体_GB2312" w:eastAsia="楷体_GB2312" w:cs="楷体_GB2312"/>
          <w:i w:val="0"/>
          <w:iCs w:val="0"/>
          <w:caps w:val="0"/>
          <w:spacing w:val="0"/>
          <w:sz w:val="24"/>
          <w:szCs w:val="24"/>
          <w:shd w:val="clear" w:fill="FFFFFF"/>
          <w:lang w:val="en-US" w:eastAsia="zh-CN"/>
        </w:rPr>
        <w:t>活动中，全体</w:t>
      </w:r>
      <w:r>
        <w:rPr>
          <w:rFonts w:hint="eastAsia" w:ascii="楷体_GB2312" w:hAnsi="楷体_GB2312" w:eastAsia="楷体_GB2312" w:cs="楷体_GB2312"/>
          <w:i w:val="0"/>
          <w:iCs w:val="0"/>
          <w:caps w:val="0"/>
          <w:spacing w:val="0"/>
          <w:sz w:val="24"/>
          <w:szCs w:val="24"/>
          <w:shd w:val="clear" w:fill="FFFFFF"/>
          <w:lang w:val="en-US" w:eastAsia="zh-CN"/>
        </w:rPr>
        <w:t>学生</w:t>
      </w:r>
      <w:r>
        <w:rPr>
          <w:rFonts w:hint="default" w:ascii="楷体_GB2312" w:hAnsi="楷体_GB2312" w:eastAsia="楷体_GB2312" w:cs="楷体_GB2312"/>
          <w:i w:val="0"/>
          <w:iCs w:val="0"/>
          <w:caps w:val="0"/>
          <w:spacing w:val="0"/>
          <w:sz w:val="24"/>
          <w:szCs w:val="24"/>
          <w:shd w:val="clear" w:fill="FFFFFF"/>
          <w:lang w:val="en-US" w:eastAsia="zh-CN"/>
        </w:rPr>
        <w:t>怀着崇敬之心齐聚烈士纪念碑前，庄重地敬献花圈并默哀，那三分钟的寂静凝聚着对先烈们无尽的缅怀与敬仰。随后的参观烈士纪念馆环节，丰富的历史资料和文物让大家深入了解到先烈们英勇无畏的战斗历程与崇高的奉献精神。</w:t>
      </w:r>
    </w:p>
    <w:p w14:paraId="1F2D5B1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i w:val="0"/>
          <w:iCs w:val="0"/>
          <w:caps w:val="0"/>
          <w:spacing w:val="0"/>
          <w:sz w:val="24"/>
          <w:szCs w:val="24"/>
          <w:shd w:val="clear" w:fill="FFFFFF"/>
        </w:rPr>
      </w:pPr>
      <w:r>
        <w:rPr>
          <w:rFonts w:hint="default" w:ascii="楷体_GB2312" w:hAnsi="楷体_GB2312" w:eastAsia="楷体_GB2312" w:cs="楷体_GB2312"/>
          <w:i w:val="0"/>
          <w:iCs w:val="0"/>
          <w:caps w:val="0"/>
          <w:spacing w:val="0"/>
          <w:sz w:val="24"/>
          <w:szCs w:val="24"/>
          <w:shd w:val="clear" w:fill="FFFFFF"/>
          <w:lang w:val="en-US" w:eastAsia="zh-CN"/>
        </w:rPr>
        <w:t>在主题演讲与分享部分，</w:t>
      </w:r>
      <w:r>
        <w:rPr>
          <w:rFonts w:hint="eastAsia" w:ascii="楷体_GB2312" w:hAnsi="楷体_GB2312" w:eastAsia="楷体_GB2312" w:cs="楷体_GB2312"/>
          <w:i w:val="0"/>
          <w:iCs w:val="0"/>
          <w:caps w:val="0"/>
          <w:spacing w:val="0"/>
          <w:sz w:val="24"/>
          <w:szCs w:val="24"/>
          <w:shd w:val="clear" w:fill="FFFFFF"/>
          <w:lang w:val="en-US" w:eastAsia="zh-CN"/>
        </w:rPr>
        <w:t>学生</w:t>
      </w:r>
      <w:r>
        <w:rPr>
          <w:rFonts w:hint="default" w:ascii="楷体_GB2312" w:hAnsi="楷体_GB2312" w:eastAsia="楷体_GB2312" w:cs="楷体_GB2312"/>
          <w:i w:val="0"/>
          <w:iCs w:val="0"/>
          <w:caps w:val="0"/>
          <w:spacing w:val="0"/>
          <w:sz w:val="24"/>
          <w:szCs w:val="24"/>
          <w:shd w:val="clear" w:fill="FFFFFF"/>
          <w:lang w:val="en-US" w:eastAsia="zh-CN"/>
        </w:rPr>
        <w:t>代表真挚的感悟发言引发了强烈共鸣，使每个人都深刻体会到红色基因的厚重内涵。自由缅怀时间里，大家安静地踱步于陵园各处，用心去感受、去铭记。</w:t>
      </w:r>
    </w:p>
    <w:p w14:paraId="0E1BA6A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i w:val="0"/>
          <w:iCs w:val="0"/>
          <w:caps w:val="0"/>
          <w:spacing w:val="0"/>
          <w:sz w:val="24"/>
          <w:szCs w:val="24"/>
          <w:shd w:val="clear" w:fill="FFFFFF"/>
          <w:lang w:val="en-US" w:eastAsia="zh-CN"/>
        </w:rPr>
      </w:pPr>
      <w:r>
        <w:rPr>
          <w:rFonts w:hint="default" w:ascii="楷体_GB2312" w:hAnsi="楷体_GB2312" w:eastAsia="楷体_GB2312" w:cs="楷体_GB2312"/>
          <w:i w:val="0"/>
          <w:iCs w:val="0"/>
          <w:caps w:val="0"/>
          <w:spacing w:val="0"/>
          <w:sz w:val="24"/>
          <w:szCs w:val="24"/>
          <w:shd w:val="clear" w:fill="FFFFFF"/>
          <w:lang w:val="en-US" w:eastAsia="zh-CN"/>
        </w:rPr>
        <w:t>通过此次活动，</w:t>
      </w:r>
      <w:r>
        <w:rPr>
          <w:rFonts w:hint="eastAsia" w:ascii="楷体_GB2312" w:hAnsi="楷体_GB2312" w:eastAsia="楷体_GB2312" w:cs="楷体_GB2312"/>
          <w:i w:val="0"/>
          <w:iCs w:val="0"/>
          <w:caps w:val="0"/>
          <w:spacing w:val="0"/>
          <w:sz w:val="24"/>
          <w:szCs w:val="24"/>
          <w:shd w:val="clear" w:fill="FFFFFF"/>
          <w:lang w:val="en-US" w:eastAsia="zh-CN"/>
        </w:rPr>
        <w:t>学生</w:t>
      </w:r>
      <w:r>
        <w:rPr>
          <w:rFonts w:hint="default" w:ascii="楷体_GB2312" w:hAnsi="楷体_GB2312" w:eastAsia="楷体_GB2312" w:cs="楷体_GB2312"/>
          <w:i w:val="0"/>
          <w:iCs w:val="0"/>
          <w:caps w:val="0"/>
          <w:spacing w:val="0"/>
          <w:sz w:val="24"/>
          <w:szCs w:val="24"/>
          <w:shd w:val="clear" w:fill="FFFFFF"/>
          <w:lang w:val="en-US" w:eastAsia="zh-CN"/>
        </w:rPr>
        <w:t>们的爱国主义情感得到极大增强，对如今幸福生活的来之不易有了更深刻的认知。大家纷纷表示要将革命先烈的精神融入到日常学习与工作中，传承红色基因，勇担时代使命。活动不仅是一次祭扫与参观，更是一次心灵的洗礼与精神的传承，激励着全体</w:t>
      </w:r>
      <w:r>
        <w:rPr>
          <w:rFonts w:hint="eastAsia" w:ascii="楷体_GB2312" w:hAnsi="楷体_GB2312" w:eastAsia="楷体_GB2312" w:cs="楷体_GB2312"/>
          <w:i w:val="0"/>
          <w:iCs w:val="0"/>
          <w:caps w:val="0"/>
          <w:spacing w:val="0"/>
          <w:sz w:val="24"/>
          <w:szCs w:val="24"/>
          <w:shd w:val="clear" w:fill="FFFFFF"/>
          <w:lang w:val="en-US" w:eastAsia="zh-CN"/>
        </w:rPr>
        <w:t>学生</w:t>
      </w:r>
      <w:r>
        <w:rPr>
          <w:rFonts w:hint="default" w:ascii="楷体_GB2312" w:hAnsi="楷体_GB2312" w:eastAsia="楷体_GB2312" w:cs="楷体_GB2312"/>
          <w:i w:val="0"/>
          <w:iCs w:val="0"/>
          <w:caps w:val="0"/>
          <w:spacing w:val="0"/>
          <w:sz w:val="24"/>
          <w:szCs w:val="24"/>
          <w:shd w:val="clear" w:fill="FFFFFF"/>
          <w:lang w:val="en-US" w:eastAsia="zh-CN"/>
        </w:rPr>
        <w:t>在未来的道路上，秉持先烈遗志，为实现中华民族伟大复兴而努力拼搏，让红色精神永远熠熠生辉。</w:t>
      </w:r>
    </w:p>
    <w:p w14:paraId="0FA9A6D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jc w:val="both"/>
        <w:textAlignment w:val="baseline"/>
        <w:outlineLvl w:val="9"/>
        <w:rPr>
          <w:rFonts w:ascii="KaiTi_GB2312" w:hAnsi="KaiTi_GB2312" w:eastAsia="KaiTi_GB2312" w:cs="KaiTi_GB2312"/>
          <w:b/>
          <w:bCs/>
          <w:spacing w:val="2"/>
          <w:sz w:val="24"/>
          <w:szCs w:val="24"/>
        </w:rPr>
      </w:pPr>
      <w:r>
        <w:drawing>
          <wp:inline distT="0" distB="0" distL="114300" distR="114300">
            <wp:extent cx="5375275" cy="3762375"/>
            <wp:effectExtent l="0" t="0" r="1587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6"/>
                    <a:stretch>
                      <a:fillRect/>
                    </a:stretch>
                  </pic:blipFill>
                  <pic:spPr>
                    <a:xfrm>
                      <a:off x="0" y="0"/>
                      <a:ext cx="5375275" cy="3762375"/>
                    </a:xfrm>
                    <a:prstGeom prst="rect">
                      <a:avLst/>
                    </a:prstGeom>
                    <a:noFill/>
                    <a:ln>
                      <a:noFill/>
                    </a:ln>
                  </pic:spPr>
                </pic:pic>
              </a:graphicData>
            </a:graphic>
          </wp:inline>
        </w:drawing>
      </w:r>
    </w:p>
    <w:p w14:paraId="52CB90C9">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eastAsia="zh-CN"/>
        </w:rPr>
      </w:pPr>
      <w:bookmarkStart w:id="336" w:name="_Toc28834"/>
      <w:bookmarkStart w:id="337" w:name="_Toc27955"/>
      <w:bookmarkStart w:id="338" w:name="_Toc22398"/>
      <w:bookmarkStart w:id="339" w:name="_Toc23472"/>
      <w:bookmarkStart w:id="340" w:name="_Toc1729"/>
      <w:r>
        <w:rPr>
          <w:rFonts w:hint="eastAsia" w:ascii="黑体" w:hAnsi="黑体" w:eastAsia="黑体" w:cs="黑体"/>
          <w:b w:val="0"/>
          <w:bCs w:val="0"/>
          <w:sz w:val="21"/>
          <w:szCs w:val="21"/>
          <w:lang w:eastAsia="zh-CN"/>
        </w:rPr>
        <w:t>图2-</w:t>
      </w:r>
      <w:r>
        <w:rPr>
          <w:rFonts w:hint="eastAsia" w:ascii="黑体" w:hAnsi="黑体" w:eastAsia="黑体" w:cs="黑体"/>
          <w:b w:val="0"/>
          <w:bCs w:val="0"/>
          <w:sz w:val="21"/>
          <w:szCs w:val="21"/>
          <w:lang w:val="en-US" w:eastAsia="zh-CN"/>
        </w:rPr>
        <w:t>3</w:t>
      </w:r>
      <w:r>
        <w:rPr>
          <w:rFonts w:hint="eastAsia" w:ascii="黑体" w:hAnsi="黑体" w:eastAsia="黑体" w:cs="黑体"/>
          <w:b w:val="0"/>
          <w:bCs w:val="0"/>
          <w:sz w:val="21"/>
          <w:szCs w:val="21"/>
          <w:lang w:eastAsia="zh-CN"/>
        </w:rPr>
        <w:t>校外红色基地主题教育</w:t>
      </w:r>
      <w:bookmarkEnd w:id="336"/>
      <w:bookmarkEnd w:id="337"/>
      <w:bookmarkEnd w:id="338"/>
      <w:bookmarkEnd w:id="339"/>
      <w:bookmarkEnd w:id="340"/>
    </w:p>
    <w:p w14:paraId="5F4B576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4" w:firstLineChars="200"/>
        <w:textAlignment w:val="baseline"/>
        <w:rPr>
          <w:rFonts w:hint="default" w:ascii="仿宋" w:hAnsi="仿宋" w:eastAsia="仿宋" w:cs="仿宋"/>
          <w:spacing w:val="6"/>
          <w:sz w:val="28"/>
          <w:szCs w:val="28"/>
          <w:lang w:val="en-US" w:eastAsia="zh-CN"/>
        </w:rPr>
      </w:pPr>
    </w:p>
    <w:p w14:paraId="5DD5579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4" w:firstLineChars="200"/>
        <w:textAlignment w:val="baseline"/>
        <w:rPr>
          <w:rFonts w:ascii="仿宋" w:hAnsi="仿宋" w:eastAsia="仿宋" w:cs="仿宋"/>
          <w:spacing w:val="6"/>
          <w:sz w:val="28"/>
          <w:szCs w:val="28"/>
        </w:rPr>
      </w:pPr>
    </w:p>
    <w:p w14:paraId="2F734DF0">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341" w:name="_Toc27280"/>
      <w:bookmarkStart w:id="342" w:name="_Toc30363"/>
      <w:bookmarkStart w:id="343" w:name="_Toc14494"/>
      <w:bookmarkStart w:id="344" w:name="_Toc11937"/>
      <w:bookmarkStart w:id="345" w:name="_Toc3961"/>
      <w:bookmarkStart w:id="346" w:name="_Toc19047"/>
      <w:bookmarkStart w:id="347" w:name="_Toc14877"/>
      <w:bookmarkStart w:id="348" w:name="_Toc7707"/>
      <w:bookmarkStart w:id="349" w:name="_Toc4568"/>
      <w:bookmarkStart w:id="350" w:name="_Toc18669"/>
      <w:r>
        <w:rPr>
          <w:rFonts w:hint="eastAsia" w:ascii="楷体_GB2312" w:hAnsi="楷体_GB2312" w:eastAsia="楷体_GB2312" w:cs="楷体_GB2312"/>
          <w:b/>
          <w:bCs/>
          <w:spacing w:val="5"/>
          <w:sz w:val="28"/>
          <w:szCs w:val="28"/>
          <w:lang w:val="en-US" w:eastAsia="zh-CN"/>
        </w:rPr>
        <w:t>2.5在校体验</w:t>
      </w:r>
      <w:bookmarkEnd w:id="341"/>
      <w:bookmarkEnd w:id="342"/>
      <w:bookmarkEnd w:id="343"/>
      <w:bookmarkEnd w:id="344"/>
      <w:bookmarkEnd w:id="345"/>
      <w:bookmarkEnd w:id="346"/>
      <w:bookmarkEnd w:id="347"/>
      <w:bookmarkEnd w:id="348"/>
      <w:bookmarkEnd w:id="349"/>
      <w:bookmarkEnd w:id="350"/>
    </w:p>
    <w:p w14:paraId="796943B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hint="eastAsia" w:ascii="楷体_GB2312" w:hAnsi="楷体_GB2312" w:eastAsia="楷体_GB2312" w:cs="楷体_GB2312"/>
          <w:b/>
          <w:bCs/>
          <w:spacing w:val="3"/>
          <w:sz w:val="28"/>
          <w:szCs w:val="28"/>
          <w:lang w:val="en-US" w:eastAsia="zh-CN"/>
        </w:rPr>
      </w:pPr>
      <w:bookmarkStart w:id="351" w:name="_Toc12689"/>
      <w:bookmarkStart w:id="352" w:name="_Toc15124"/>
      <w:bookmarkStart w:id="353" w:name="_Toc17101"/>
      <w:bookmarkStart w:id="354" w:name="_Toc9580"/>
      <w:bookmarkStart w:id="355" w:name="_Toc8392"/>
      <w:bookmarkStart w:id="356" w:name="_Toc4709"/>
      <w:bookmarkStart w:id="357" w:name="_Toc16329"/>
      <w:bookmarkStart w:id="358" w:name="_Toc25839"/>
      <w:bookmarkStart w:id="359" w:name="_Toc16590"/>
      <w:bookmarkStart w:id="360" w:name="_Toc7415"/>
      <w:r>
        <w:rPr>
          <w:rFonts w:hint="eastAsia" w:ascii="楷体_GB2312" w:hAnsi="楷体_GB2312" w:eastAsia="楷体_GB2312" w:cs="楷体_GB2312"/>
          <w:b/>
          <w:bCs/>
          <w:spacing w:val="3"/>
          <w:sz w:val="28"/>
          <w:szCs w:val="28"/>
          <w:lang w:val="en-US" w:eastAsia="zh-CN"/>
        </w:rPr>
        <w:t>2.5.1专业建设</w:t>
      </w:r>
      <w:bookmarkEnd w:id="351"/>
      <w:bookmarkEnd w:id="352"/>
      <w:bookmarkEnd w:id="353"/>
      <w:bookmarkEnd w:id="354"/>
      <w:bookmarkEnd w:id="355"/>
      <w:bookmarkEnd w:id="356"/>
      <w:bookmarkEnd w:id="357"/>
      <w:bookmarkEnd w:id="358"/>
      <w:bookmarkEnd w:id="359"/>
      <w:bookmarkEnd w:id="360"/>
    </w:p>
    <w:p w14:paraId="722D02C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lang w:eastAsia="zh-CN"/>
        </w:rPr>
        <w:t>学校</w:t>
      </w:r>
      <w:r>
        <w:rPr>
          <w:rFonts w:hint="eastAsia" w:ascii="仿宋_GB2312" w:hAnsi="仿宋_GB2312" w:eastAsia="仿宋_GB2312" w:cs="仿宋_GB2312"/>
          <w:spacing w:val="7"/>
          <w:sz w:val="28"/>
          <w:szCs w:val="28"/>
        </w:rPr>
        <w:t>根据社会发展，区域发展，行业发展以及市场需求设置专业，同时积极开展校企合作，为企业定制培养人才，</w:t>
      </w:r>
    </w:p>
    <w:p w14:paraId="17FEB17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尽量保证学生能够毕业及就业，目前有</w:t>
      </w:r>
      <w:r>
        <w:rPr>
          <w:rFonts w:hint="eastAsia" w:ascii="仿宋_GB2312" w:hAnsi="仿宋_GB2312" w:eastAsia="仿宋_GB2312" w:cs="仿宋_GB2312"/>
          <w:spacing w:val="7"/>
          <w:sz w:val="28"/>
          <w:szCs w:val="28"/>
          <w:lang w:val="en-US" w:eastAsia="zh-CN"/>
        </w:rPr>
        <w:t>十</w:t>
      </w:r>
      <w:r>
        <w:rPr>
          <w:rFonts w:hint="eastAsia" w:ascii="仿宋_GB2312" w:hAnsi="仿宋_GB2312" w:eastAsia="仿宋_GB2312" w:cs="仿宋_GB2312"/>
          <w:spacing w:val="7"/>
          <w:sz w:val="28"/>
          <w:szCs w:val="28"/>
        </w:rPr>
        <w:t>大专业，严格按照教育部公布的各项专业规定设置，并积极公开专业培养方案，此项达到标准。</w:t>
      </w:r>
    </w:p>
    <w:p w14:paraId="7E6484C2">
      <w:pPr>
        <w:pStyle w:val="4"/>
        <w:bidi w:val="0"/>
        <w:jc w:val="center"/>
        <w:rPr>
          <w:rFonts w:hint="eastAsia" w:ascii="黑体" w:hAnsi="黑体" w:eastAsia="黑体" w:cs="黑体"/>
          <w:b w:val="0"/>
          <w:bCs w:val="0"/>
          <w:spacing w:val="8"/>
          <w:sz w:val="24"/>
          <w:szCs w:val="24"/>
        </w:rPr>
      </w:pPr>
      <w:bookmarkStart w:id="361" w:name="_Toc15617"/>
      <w:bookmarkStart w:id="362" w:name="_Toc30054"/>
      <w:bookmarkStart w:id="363" w:name="_Toc10327"/>
      <w:bookmarkStart w:id="364" w:name="_Toc21244"/>
      <w:r>
        <w:rPr>
          <w:rFonts w:hint="eastAsia" w:ascii="黑体" w:hAnsi="黑体" w:eastAsia="黑体" w:cs="黑体"/>
          <w:b w:val="0"/>
          <w:bCs w:val="0"/>
          <w:spacing w:val="8"/>
          <w:sz w:val="24"/>
          <w:szCs w:val="24"/>
        </w:rPr>
        <w:t>表</w:t>
      </w:r>
      <w:r>
        <w:rPr>
          <w:rFonts w:hint="eastAsia" w:ascii="黑体" w:hAnsi="黑体" w:eastAsia="黑体" w:cs="黑体"/>
          <w:b w:val="0"/>
          <w:bCs w:val="0"/>
          <w:spacing w:val="8"/>
          <w:sz w:val="24"/>
          <w:szCs w:val="24"/>
          <w:lang w:val="en-US" w:eastAsia="zh-CN"/>
        </w:rPr>
        <w:t>2-1</w:t>
      </w:r>
      <w:r>
        <w:rPr>
          <w:rFonts w:hint="eastAsia" w:ascii="黑体" w:hAnsi="黑体" w:eastAsia="黑体" w:cs="黑体"/>
          <w:b w:val="0"/>
          <w:bCs w:val="0"/>
          <w:spacing w:val="8"/>
          <w:sz w:val="24"/>
          <w:szCs w:val="24"/>
        </w:rPr>
        <w:t>学校中等职业教育专业设置一览表</w:t>
      </w:r>
      <w:bookmarkEnd w:id="361"/>
      <w:bookmarkEnd w:id="362"/>
      <w:bookmarkEnd w:id="363"/>
      <w:bookmarkEnd w:id="364"/>
    </w:p>
    <w:tbl>
      <w:tblPr>
        <w:tblStyle w:val="12"/>
        <w:tblW w:w="8616" w:type="dxa"/>
        <w:tblInd w:w="3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1101"/>
        <w:gridCol w:w="1765"/>
        <w:gridCol w:w="1760"/>
        <w:gridCol w:w="1363"/>
        <w:gridCol w:w="504"/>
        <w:gridCol w:w="1487"/>
      </w:tblGrid>
      <w:tr w14:paraId="01E8F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3"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D82B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3C63">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专业代码</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67E3C">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专业名称</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1F98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专业大类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DCB3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专业类别</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E92A1">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学制</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4D13">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学习形式</w:t>
            </w:r>
          </w:p>
        </w:tc>
      </w:tr>
      <w:tr w14:paraId="3DF87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70D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A6F9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610118</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FBDB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休闲农业生产与经营</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719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农林牧渔大类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CBF8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农业类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EE0C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52A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73E71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A63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273D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620902</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CEA0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应急救援技术</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4EB3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资源环境与安全大类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18AF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安全类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ACE2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2451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43254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E4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C7C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640102</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588D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建筑装饰技术</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E383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土木建筑大类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A6A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建筑设计类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B4E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87AE5">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77F14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D2EE3">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1E0AB">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640301</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D0F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建筑工程施工</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889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土木建筑大类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59E5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土建施工类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D6D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DED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71A81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08B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404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710201</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EC18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计算机应用</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68A8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电子与信息大类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410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计算机类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B537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502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082B9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24F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1FBB6">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730701</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080F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电子商务</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0864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财经商贸大类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FE88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电子商务类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18E1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B5CC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47EE0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5D2F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BA0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740201</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B6AC">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中餐烹饪</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7A5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旅游大类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7AF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餐饮类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57C2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00AA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472E9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D9C6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DF8E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750106</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66F4">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工艺美术</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71F6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文化艺术大类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DA668">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艺术设计类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72340">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97D5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5A5BA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B94F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344B1">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750202</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A4959">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舞蹈表演</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299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文化艺术大类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3DA1A">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表演艺术类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DD3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DA707">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r w14:paraId="55206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1FEB5">
            <w:pPr>
              <w:keepNext w:val="0"/>
              <w:keepLines w:val="0"/>
              <w:widowControl/>
              <w:suppressLineNumbers w:val="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B47C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770303</w:t>
            </w:r>
          </w:p>
        </w:tc>
        <w:tc>
          <w:tcPr>
            <w:tcW w:w="1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6A15F">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运动训练</w:t>
            </w:r>
          </w:p>
        </w:tc>
        <w:tc>
          <w:tcPr>
            <w:tcW w:w="1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54E82">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教育与体育大类</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414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体育类</w:t>
            </w:r>
          </w:p>
        </w:tc>
        <w:tc>
          <w:tcPr>
            <w:tcW w:w="5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539CE">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4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942D">
            <w:pPr>
              <w:keepNext w:val="0"/>
              <w:keepLines w:val="0"/>
              <w:widowControl/>
              <w:suppressLineNumbers w:val="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全日制</w:t>
            </w:r>
          </w:p>
        </w:tc>
      </w:tr>
    </w:tbl>
    <w:p w14:paraId="2D740DD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hint="eastAsia" w:ascii="楷体_GB2312" w:hAnsi="楷体_GB2312" w:eastAsia="楷体_GB2312" w:cs="楷体_GB2312"/>
          <w:b/>
          <w:bCs/>
          <w:spacing w:val="3"/>
          <w:sz w:val="28"/>
          <w:szCs w:val="28"/>
          <w:lang w:val="en-US" w:eastAsia="zh-CN"/>
        </w:rPr>
      </w:pPr>
      <w:bookmarkStart w:id="365" w:name="bookmark49"/>
      <w:bookmarkEnd w:id="365"/>
      <w:bookmarkStart w:id="366" w:name="_Toc2612"/>
      <w:bookmarkStart w:id="367" w:name="_Toc7645"/>
      <w:bookmarkStart w:id="368" w:name="_Toc24002"/>
      <w:bookmarkStart w:id="369" w:name="_Toc32081"/>
      <w:bookmarkStart w:id="370" w:name="_Toc23718"/>
      <w:bookmarkStart w:id="371" w:name="_Toc29140"/>
      <w:bookmarkStart w:id="372" w:name="_Toc12907"/>
      <w:bookmarkStart w:id="373" w:name="_Toc26557"/>
      <w:bookmarkStart w:id="374" w:name="_Toc31432"/>
      <w:bookmarkStart w:id="375" w:name="_Toc5645"/>
      <w:r>
        <w:rPr>
          <w:rFonts w:hint="eastAsia" w:ascii="楷体_GB2312" w:hAnsi="楷体_GB2312" w:eastAsia="楷体_GB2312" w:cs="楷体_GB2312"/>
          <w:b/>
          <w:bCs/>
          <w:spacing w:val="3"/>
          <w:sz w:val="28"/>
          <w:szCs w:val="28"/>
          <w:lang w:val="en-US" w:eastAsia="zh-CN"/>
        </w:rPr>
        <w:t>2.5.2课程建设</w:t>
      </w:r>
      <w:bookmarkEnd w:id="366"/>
      <w:bookmarkEnd w:id="367"/>
      <w:bookmarkEnd w:id="368"/>
      <w:bookmarkEnd w:id="369"/>
      <w:bookmarkEnd w:id="370"/>
      <w:bookmarkEnd w:id="371"/>
      <w:bookmarkEnd w:id="372"/>
      <w:bookmarkEnd w:id="373"/>
      <w:bookmarkEnd w:id="374"/>
      <w:bookmarkEnd w:id="375"/>
    </w:p>
    <w:p w14:paraId="57B47FB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376" w:name="_Toc24503"/>
      <w:r>
        <w:rPr>
          <w:rFonts w:hint="eastAsia" w:ascii="仿宋_GB2312" w:hAnsi="仿宋_GB2312" w:eastAsia="仿宋_GB2312" w:cs="仿宋_GB2312"/>
          <w:spacing w:val="7"/>
          <w:sz w:val="28"/>
          <w:szCs w:val="28"/>
          <w:lang w:eastAsia="zh-CN"/>
        </w:rPr>
        <w:t>学校</w:t>
      </w:r>
      <w:r>
        <w:rPr>
          <w:rFonts w:hint="eastAsia" w:ascii="仿宋_GB2312" w:hAnsi="仿宋_GB2312" w:eastAsia="仿宋_GB2312" w:cs="仿宋_GB2312"/>
          <w:spacing w:val="7"/>
          <w:sz w:val="28"/>
          <w:szCs w:val="28"/>
        </w:rPr>
        <w:t>严格按照教育部关于职业教育课程规定，同时对接行业标准，形成以能力为主，实践为辅的课程体系，特别设计新工艺，新思路，新技术，新方法的行业，实时对接行业的新标准，能保证学生的充分就业，同时推动模块化，模拟情景教学，结合现代信息技术，尽量为学生创造实践环境，能让学生实践中总结经验，学习方法。教育教学工作中严格执行《职业学校学生实习管理规定》，同时，结合企业定制要求，开设特色课程，以达到企业用人标准，此项符合标准。</w:t>
      </w:r>
      <w:bookmarkEnd w:id="376"/>
      <w:bookmarkStart w:id="377" w:name="bookmark51"/>
      <w:bookmarkEnd w:id="377"/>
    </w:p>
    <w:p w14:paraId="3A4DF03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hint="eastAsia" w:ascii="楷体_GB2312" w:hAnsi="楷体_GB2312" w:eastAsia="楷体_GB2312" w:cs="楷体_GB2312"/>
          <w:b/>
          <w:bCs/>
          <w:spacing w:val="3"/>
          <w:sz w:val="28"/>
          <w:szCs w:val="28"/>
        </w:rPr>
      </w:pPr>
      <w:bookmarkStart w:id="378" w:name="_Toc18701"/>
      <w:bookmarkStart w:id="379" w:name="_Toc1064"/>
      <w:bookmarkStart w:id="380" w:name="_Toc7421"/>
      <w:bookmarkStart w:id="381" w:name="_Toc10418"/>
      <w:bookmarkStart w:id="382" w:name="_Toc21831"/>
      <w:bookmarkStart w:id="383" w:name="_Toc30342"/>
      <w:bookmarkStart w:id="384" w:name="_Toc4951"/>
      <w:bookmarkStart w:id="385" w:name="_Toc13995"/>
      <w:bookmarkStart w:id="386" w:name="_Toc32529"/>
      <w:bookmarkStart w:id="387" w:name="_Toc27187"/>
      <w:r>
        <w:rPr>
          <w:rFonts w:hint="eastAsia" w:ascii="楷体_GB2312" w:hAnsi="楷体_GB2312" w:eastAsia="楷体_GB2312" w:cs="楷体_GB2312"/>
          <w:b/>
          <w:bCs/>
          <w:spacing w:val="3"/>
          <w:sz w:val="28"/>
          <w:szCs w:val="28"/>
          <w:lang w:val="en-US" w:eastAsia="zh-CN"/>
        </w:rPr>
        <w:t>2.5.3满意度调查</w:t>
      </w:r>
      <w:bookmarkEnd w:id="378"/>
      <w:bookmarkEnd w:id="379"/>
      <w:bookmarkEnd w:id="380"/>
      <w:bookmarkEnd w:id="381"/>
      <w:bookmarkEnd w:id="382"/>
      <w:bookmarkEnd w:id="383"/>
      <w:bookmarkEnd w:id="384"/>
      <w:bookmarkEnd w:id="385"/>
      <w:bookmarkEnd w:id="386"/>
      <w:bookmarkEnd w:id="387"/>
    </w:p>
    <w:p w14:paraId="643D483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rPr>
        <w:t>我们制定了“学校办学质量满意度调查问卷”，随机抽取各年级部分学生开展问卷调查。问卷聚焦理论与专业学习、校园生活、校园安全、毕业生对校满意度这四大维度，具体调查情况如下表所示</w:t>
      </w:r>
      <w:r>
        <w:rPr>
          <w:rFonts w:hint="eastAsia" w:ascii="仿宋_GB2312" w:hAnsi="仿宋_GB2312" w:eastAsia="仿宋_GB2312" w:cs="仿宋_GB2312"/>
          <w:spacing w:val="7"/>
          <w:sz w:val="28"/>
          <w:szCs w:val="28"/>
          <w:lang w:eastAsia="zh-CN"/>
        </w:rPr>
        <w:t>：</w:t>
      </w:r>
    </w:p>
    <w:p w14:paraId="564DD62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lang w:eastAsia="zh-CN"/>
        </w:rPr>
        <w:drawing>
          <wp:inline distT="0" distB="0" distL="114300" distR="114300">
            <wp:extent cx="4838700" cy="2752725"/>
            <wp:effectExtent l="0" t="0" r="0" b="9525"/>
            <wp:docPr id="15" name="图片 15" descr="064470d6723c66cc68ae9e6573223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64470d6723c66cc68ae9e65732236a2"/>
                    <pic:cNvPicPr>
                      <a:picLocks noChangeAspect="1"/>
                    </pic:cNvPicPr>
                  </pic:nvPicPr>
                  <pic:blipFill>
                    <a:blip r:embed="rId17"/>
                    <a:stretch>
                      <a:fillRect/>
                    </a:stretch>
                  </pic:blipFill>
                  <pic:spPr>
                    <a:xfrm>
                      <a:off x="0" y="0"/>
                      <a:ext cx="4838700" cy="2752725"/>
                    </a:xfrm>
                    <a:prstGeom prst="rect">
                      <a:avLst/>
                    </a:prstGeom>
                  </pic:spPr>
                </pic:pic>
              </a:graphicData>
            </a:graphic>
          </wp:inline>
        </w:drawing>
      </w:r>
    </w:p>
    <w:p w14:paraId="651747A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center"/>
        <w:textAlignment w:val="baseline"/>
        <w:rPr>
          <w:sz w:val="28"/>
          <w:szCs w:val="28"/>
        </w:rPr>
      </w:pPr>
    </w:p>
    <w:p w14:paraId="40DCDDD8">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eastAsia="zh-CN"/>
        </w:rPr>
      </w:pPr>
      <w:bookmarkStart w:id="388" w:name="bookmark89"/>
      <w:bookmarkEnd w:id="388"/>
      <w:bookmarkStart w:id="389" w:name="_Toc2101"/>
      <w:bookmarkStart w:id="390" w:name="_Toc21373"/>
      <w:bookmarkStart w:id="391" w:name="_Toc143"/>
      <w:bookmarkStart w:id="392" w:name="_Toc14643"/>
      <w:bookmarkStart w:id="393" w:name="_Toc31514"/>
      <w:bookmarkStart w:id="394" w:name="_Toc12742"/>
      <w:r>
        <w:rPr>
          <w:rFonts w:hint="eastAsia" w:ascii="黑体" w:hAnsi="黑体" w:eastAsia="黑体" w:cs="黑体"/>
          <w:b w:val="0"/>
          <w:bCs w:val="0"/>
          <w:sz w:val="21"/>
          <w:szCs w:val="21"/>
          <w:lang w:val="en-US" w:eastAsia="zh-CN"/>
        </w:rPr>
        <w:t>图2-4学习满意度调查</w:t>
      </w:r>
      <w:bookmarkEnd w:id="389"/>
      <w:bookmarkEnd w:id="390"/>
      <w:bookmarkEnd w:id="391"/>
      <w:bookmarkEnd w:id="392"/>
      <w:bookmarkEnd w:id="393"/>
      <w:bookmarkEnd w:id="394"/>
    </w:p>
    <w:p w14:paraId="60F0FE66">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jc w:val="both"/>
        <w:textAlignment w:val="baseline"/>
        <w:outlineLvl w:val="9"/>
        <w:rPr>
          <w:rFonts w:hint="eastAsia" w:ascii="黑体" w:hAnsi="黑体" w:eastAsia="黑体" w:cs="黑体"/>
          <w:spacing w:val="7"/>
          <w:sz w:val="21"/>
          <w:szCs w:val="21"/>
        </w:rPr>
      </w:pPr>
    </w:p>
    <w:p w14:paraId="452EC1B8">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4"/>
          <w:szCs w:val="24"/>
          <w:lang w:eastAsia="zh-CN"/>
        </w:rPr>
      </w:pPr>
      <w:bookmarkStart w:id="395" w:name="_Toc4898"/>
      <w:bookmarkStart w:id="396" w:name="_Toc21699"/>
      <w:bookmarkStart w:id="397" w:name="_Toc28833"/>
      <w:bookmarkStart w:id="398" w:name="_Toc4112"/>
      <w:bookmarkStart w:id="399" w:name="_Toc4550"/>
      <w:bookmarkStart w:id="400" w:name="_Toc2234"/>
      <w:bookmarkStart w:id="401" w:name="_Toc14464"/>
      <w:r>
        <w:rPr>
          <w:rFonts w:hint="eastAsia" w:ascii="黑体" w:hAnsi="黑体" w:eastAsia="黑体" w:cs="黑体"/>
          <w:b w:val="0"/>
          <w:bCs w:val="0"/>
          <w:sz w:val="24"/>
          <w:szCs w:val="24"/>
          <w:lang w:eastAsia="zh-CN"/>
        </w:rPr>
        <w:t>表</w:t>
      </w:r>
      <w:r>
        <w:rPr>
          <w:rFonts w:hint="eastAsia" w:ascii="黑体" w:hAnsi="黑体" w:eastAsia="黑体" w:cs="黑体"/>
          <w:b w:val="0"/>
          <w:bCs w:val="0"/>
          <w:sz w:val="24"/>
          <w:szCs w:val="24"/>
          <w:lang w:val="en-US" w:eastAsia="zh-CN"/>
        </w:rPr>
        <w:t>2-2</w:t>
      </w:r>
      <w:r>
        <w:rPr>
          <w:rFonts w:hint="eastAsia" w:ascii="黑体" w:hAnsi="黑体" w:eastAsia="黑体" w:cs="黑体"/>
          <w:b w:val="0"/>
          <w:bCs w:val="0"/>
          <w:sz w:val="24"/>
          <w:szCs w:val="24"/>
          <w:lang w:eastAsia="zh-CN"/>
        </w:rPr>
        <w:t>学生满意度分析表</w:t>
      </w:r>
      <w:bookmarkEnd w:id="395"/>
      <w:bookmarkEnd w:id="396"/>
      <w:bookmarkEnd w:id="397"/>
      <w:bookmarkEnd w:id="398"/>
      <w:bookmarkEnd w:id="399"/>
      <w:bookmarkEnd w:id="400"/>
      <w:bookmarkEnd w:id="401"/>
    </w:p>
    <w:tbl>
      <w:tblPr>
        <w:tblStyle w:val="19"/>
        <w:tblW w:w="885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37"/>
        <w:gridCol w:w="2150"/>
        <w:gridCol w:w="4663"/>
      </w:tblGrid>
      <w:tr w14:paraId="3C237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2037" w:type="dxa"/>
            <w:vAlign w:val="center"/>
          </w:tcPr>
          <w:p w14:paraId="277B804C">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b/>
                <w:bCs/>
                <w:spacing w:val="-8"/>
                <w:sz w:val="21"/>
                <w:szCs w:val="21"/>
              </w:rPr>
              <w:t>评价项目</w:t>
            </w:r>
          </w:p>
        </w:tc>
        <w:tc>
          <w:tcPr>
            <w:tcW w:w="2150" w:type="dxa"/>
            <w:vAlign w:val="center"/>
          </w:tcPr>
          <w:p w14:paraId="7857C0C4">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b/>
                <w:bCs/>
                <w:spacing w:val="-10"/>
                <w:sz w:val="21"/>
                <w:szCs w:val="21"/>
              </w:rPr>
              <w:t>学生意见</w:t>
            </w:r>
          </w:p>
        </w:tc>
        <w:tc>
          <w:tcPr>
            <w:tcW w:w="4663" w:type="dxa"/>
            <w:vAlign w:val="center"/>
          </w:tcPr>
          <w:p w14:paraId="70FE9C29">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b/>
                <w:bCs/>
                <w:spacing w:val="-11"/>
                <w:sz w:val="21"/>
                <w:szCs w:val="21"/>
              </w:rPr>
              <w:t>改进措施</w:t>
            </w:r>
          </w:p>
        </w:tc>
      </w:tr>
      <w:tr w14:paraId="44D4BE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9" w:hRule="atLeast"/>
        </w:trPr>
        <w:tc>
          <w:tcPr>
            <w:tcW w:w="2037" w:type="dxa"/>
            <w:vAlign w:val="center"/>
          </w:tcPr>
          <w:p w14:paraId="17B10408">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4"/>
                <w:sz w:val="21"/>
                <w:szCs w:val="21"/>
              </w:rPr>
              <w:t>理论学习目</w:t>
            </w:r>
            <w:r>
              <w:rPr>
                <w:rFonts w:hint="eastAsia" w:ascii="仿宋_GB2312" w:hAnsi="仿宋_GB2312" w:eastAsia="仿宋_GB2312" w:cs="仿宋_GB2312"/>
                <w:sz w:val="21"/>
                <w:szCs w:val="21"/>
              </w:rPr>
              <w:t>的</w:t>
            </w:r>
          </w:p>
        </w:tc>
        <w:tc>
          <w:tcPr>
            <w:tcW w:w="2150" w:type="dxa"/>
            <w:vMerge w:val="restart"/>
            <w:vAlign w:val="center"/>
          </w:tcPr>
          <w:p w14:paraId="6FEC665E">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部分学生对理论学习目的认识模糊，在学习过程中缺乏主动探索精神和积极进取态度。</w:t>
            </w:r>
          </w:p>
        </w:tc>
        <w:tc>
          <w:tcPr>
            <w:tcW w:w="4663" w:type="dxa"/>
            <w:vMerge w:val="restart"/>
            <w:vAlign w:val="center"/>
          </w:tcPr>
          <w:p w14:paraId="4F4ABA0F">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授课教师在每门课程起始阶段，通过行业案例分析、职业发展路径讲解等方式，让学生清晰了解所学理论知识在专业领域及未来职业中的应用价值，激发学生内在学习动力。</w:t>
            </w:r>
          </w:p>
        </w:tc>
      </w:tr>
      <w:tr w14:paraId="16890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2037" w:type="dxa"/>
            <w:vAlign w:val="center"/>
          </w:tcPr>
          <w:p w14:paraId="557EABC2">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pacing w:val="44"/>
                <w:sz w:val="21"/>
                <w:szCs w:val="21"/>
              </w:rPr>
            </w:pPr>
            <w:r>
              <w:rPr>
                <w:rFonts w:hint="eastAsia" w:ascii="仿宋_GB2312" w:hAnsi="仿宋_GB2312" w:eastAsia="仿宋_GB2312" w:cs="仿宋_GB2312"/>
                <w:spacing w:val="-4"/>
                <w:sz w:val="21"/>
                <w:szCs w:val="21"/>
              </w:rPr>
              <w:t>专业学习目的</w:t>
            </w:r>
          </w:p>
        </w:tc>
        <w:tc>
          <w:tcPr>
            <w:tcW w:w="2150" w:type="dxa"/>
            <w:vMerge w:val="continue"/>
            <w:vAlign w:val="center"/>
          </w:tcPr>
          <w:p w14:paraId="398D8C1A">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left"/>
              <w:textAlignment w:val="baseline"/>
              <w:rPr>
                <w:rFonts w:hint="eastAsia" w:ascii="仿宋_GB2312" w:hAnsi="仿宋_GB2312" w:eastAsia="仿宋_GB2312" w:cs="仿宋_GB2312"/>
                <w:spacing w:val="44"/>
                <w:sz w:val="21"/>
                <w:szCs w:val="21"/>
              </w:rPr>
            </w:pPr>
          </w:p>
        </w:tc>
        <w:tc>
          <w:tcPr>
            <w:tcW w:w="4663" w:type="dxa"/>
            <w:vMerge w:val="continue"/>
            <w:vAlign w:val="center"/>
          </w:tcPr>
          <w:p w14:paraId="3BE1EA03">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left"/>
              <w:textAlignment w:val="baseline"/>
              <w:rPr>
                <w:rFonts w:hint="eastAsia" w:ascii="仿宋_GB2312" w:hAnsi="仿宋_GB2312" w:eastAsia="仿宋_GB2312" w:cs="仿宋_GB2312"/>
                <w:spacing w:val="44"/>
                <w:sz w:val="21"/>
                <w:szCs w:val="21"/>
              </w:rPr>
            </w:pPr>
          </w:p>
        </w:tc>
      </w:tr>
      <w:tr w14:paraId="396DA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037" w:type="dxa"/>
            <w:vAlign w:val="center"/>
          </w:tcPr>
          <w:p w14:paraId="54550385">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理论学习内</w:t>
            </w:r>
            <w:r>
              <w:rPr>
                <w:rFonts w:hint="eastAsia" w:ascii="仿宋_GB2312" w:hAnsi="仿宋_GB2312" w:eastAsia="仿宋_GB2312" w:cs="仿宋_GB2312"/>
                <w:sz w:val="21"/>
                <w:szCs w:val="21"/>
              </w:rPr>
              <w:t>容</w:t>
            </w:r>
          </w:p>
        </w:tc>
        <w:tc>
          <w:tcPr>
            <w:tcW w:w="2150" w:type="dxa"/>
            <w:vMerge w:val="restart"/>
            <w:vAlign w:val="center"/>
          </w:tcPr>
          <w:p w14:paraId="45033D71">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数学、英语等公共基础课难度较大，学生理解和掌握困难，影响整体学习积极性。</w:t>
            </w:r>
          </w:p>
        </w:tc>
        <w:tc>
          <w:tcPr>
            <w:tcW w:w="4663" w:type="dxa"/>
            <w:vMerge w:val="restart"/>
            <w:vAlign w:val="center"/>
          </w:tcPr>
          <w:p w14:paraId="61816DF8">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教师团队深入研讨，结合专业需求对教学内容进行筛选与优化，去除过于复杂且与专业关联性不强的部分。同时，采用多样化教学手段，如引入趣味数学故事、英语电影片段等，激发学生学习兴趣，降低学习难度。</w:t>
            </w:r>
          </w:p>
        </w:tc>
      </w:tr>
      <w:tr w14:paraId="1BF1B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037" w:type="dxa"/>
            <w:vAlign w:val="center"/>
          </w:tcPr>
          <w:p w14:paraId="1B8E5ABC">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专业学习内容</w:t>
            </w:r>
          </w:p>
        </w:tc>
        <w:tc>
          <w:tcPr>
            <w:tcW w:w="2150" w:type="dxa"/>
            <w:vMerge w:val="continue"/>
            <w:vAlign w:val="center"/>
          </w:tcPr>
          <w:p w14:paraId="3F705F7C">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left"/>
              <w:textAlignment w:val="baseline"/>
              <w:rPr>
                <w:rFonts w:hint="eastAsia" w:ascii="仿宋_GB2312" w:hAnsi="仿宋_GB2312" w:eastAsia="仿宋_GB2312" w:cs="仿宋_GB2312"/>
                <w:spacing w:val="-4"/>
                <w:sz w:val="21"/>
                <w:szCs w:val="21"/>
              </w:rPr>
            </w:pPr>
          </w:p>
        </w:tc>
        <w:tc>
          <w:tcPr>
            <w:tcW w:w="4663" w:type="dxa"/>
            <w:vMerge w:val="continue"/>
            <w:vAlign w:val="center"/>
          </w:tcPr>
          <w:p w14:paraId="2036CD2B">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left"/>
              <w:textAlignment w:val="baseline"/>
              <w:rPr>
                <w:rFonts w:hint="eastAsia" w:ascii="仿宋_GB2312" w:hAnsi="仿宋_GB2312" w:eastAsia="仿宋_GB2312" w:cs="仿宋_GB2312"/>
                <w:spacing w:val="-4"/>
                <w:sz w:val="21"/>
                <w:szCs w:val="21"/>
              </w:rPr>
            </w:pPr>
          </w:p>
        </w:tc>
      </w:tr>
      <w:tr w14:paraId="4FE5B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037" w:type="dxa"/>
            <w:vAlign w:val="center"/>
          </w:tcPr>
          <w:p w14:paraId="42DD6F26">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理论学习方</w:t>
            </w:r>
            <w:r>
              <w:rPr>
                <w:rFonts w:hint="eastAsia" w:ascii="仿宋_GB2312" w:hAnsi="仿宋_GB2312" w:eastAsia="仿宋_GB2312" w:cs="仿宋_GB2312"/>
                <w:sz w:val="21"/>
                <w:szCs w:val="21"/>
              </w:rPr>
              <w:t>法</w:t>
            </w:r>
          </w:p>
        </w:tc>
        <w:tc>
          <w:tcPr>
            <w:tcW w:w="2150" w:type="dxa"/>
            <w:vMerge w:val="restart"/>
            <w:vAlign w:val="center"/>
          </w:tcPr>
          <w:p w14:paraId="3195C80B">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部分学生学习方法单一，缺乏科学有效的学习策略，难以应对多样化的学习任务。</w:t>
            </w:r>
          </w:p>
        </w:tc>
        <w:tc>
          <w:tcPr>
            <w:tcW w:w="4663" w:type="dxa"/>
            <w:vMerge w:val="restart"/>
            <w:vAlign w:val="center"/>
          </w:tcPr>
          <w:p w14:paraId="76BC060B">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z w:val="21"/>
                <w:szCs w:val="21"/>
              </w:rPr>
            </w:pPr>
            <w:r>
              <w:rPr>
                <w:rFonts w:hint="eastAsia" w:ascii="仿宋_GB2312" w:hAnsi="仿宋_GB2312" w:eastAsia="仿宋_GB2312" w:cs="仿宋_GB2312"/>
                <w:snapToGrid w:val="0"/>
                <w:color w:val="000000"/>
                <w:kern w:val="0"/>
                <w:sz w:val="21"/>
                <w:szCs w:val="21"/>
                <w:lang w:val="en-US" w:eastAsia="zh-CN" w:bidi="ar"/>
              </w:rPr>
              <w:t>教师定期开展学习方法指导讲座，针对不同课程特点，介绍如思维导图、小组合作学习、错题整理等实用方法。同时，根据学生个体差异，为学生量身定制个性化学习计划，帮助学生找到适合自己的学习方式。</w:t>
            </w:r>
          </w:p>
        </w:tc>
      </w:tr>
      <w:tr w14:paraId="41485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2037" w:type="dxa"/>
            <w:vAlign w:val="center"/>
          </w:tcPr>
          <w:p w14:paraId="2F60798A">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专业学习方法</w:t>
            </w:r>
          </w:p>
        </w:tc>
        <w:tc>
          <w:tcPr>
            <w:tcW w:w="2150" w:type="dxa"/>
            <w:vMerge w:val="continue"/>
            <w:vAlign w:val="center"/>
          </w:tcPr>
          <w:p w14:paraId="7847F65B">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left"/>
              <w:textAlignment w:val="baseline"/>
              <w:rPr>
                <w:rFonts w:hint="eastAsia" w:ascii="仿宋_GB2312" w:hAnsi="仿宋_GB2312" w:eastAsia="仿宋_GB2312" w:cs="仿宋_GB2312"/>
                <w:spacing w:val="-4"/>
                <w:sz w:val="21"/>
                <w:szCs w:val="21"/>
              </w:rPr>
            </w:pPr>
          </w:p>
        </w:tc>
        <w:tc>
          <w:tcPr>
            <w:tcW w:w="4663" w:type="dxa"/>
            <w:vMerge w:val="continue"/>
            <w:vAlign w:val="center"/>
          </w:tcPr>
          <w:p w14:paraId="47D664FE">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left"/>
              <w:textAlignment w:val="baseline"/>
              <w:rPr>
                <w:rFonts w:hint="eastAsia" w:ascii="仿宋_GB2312" w:hAnsi="仿宋_GB2312" w:eastAsia="仿宋_GB2312" w:cs="仿宋_GB2312"/>
                <w:spacing w:val="-4"/>
                <w:sz w:val="21"/>
                <w:szCs w:val="21"/>
              </w:rPr>
            </w:pPr>
          </w:p>
        </w:tc>
      </w:tr>
      <w:tr w14:paraId="679FD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037" w:type="dxa"/>
            <w:vAlign w:val="center"/>
          </w:tcPr>
          <w:p w14:paraId="58C88CD4">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理论学习效果</w:t>
            </w:r>
          </w:p>
        </w:tc>
        <w:tc>
          <w:tcPr>
            <w:tcW w:w="2150" w:type="dxa"/>
            <w:vMerge w:val="restart"/>
            <w:vAlign w:val="center"/>
          </w:tcPr>
          <w:p w14:paraId="0362E08B">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pacing w:val="-4"/>
                <w:sz w:val="21"/>
                <w:szCs w:val="21"/>
                <w:lang w:eastAsia="zh-CN"/>
              </w:rPr>
            </w:pPr>
            <w:r>
              <w:rPr>
                <w:rFonts w:hint="eastAsia" w:ascii="仿宋_GB2312" w:hAnsi="仿宋_GB2312" w:eastAsia="仿宋_GB2312" w:cs="仿宋_GB2312"/>
                <w:snapToGrid w:val="0"/>
                <w:color w:val="000000"/>
                <w:kern w:val="0"/>
                <w:sz w:val="21"/>
                <w:szCs w:val="21"/>
                <w:lang w:val="en-US" w:eastAsia="zh-CN" w:bidi="ar"/>
              </w:rPr>
              <w:t>整体学习目标虽基本达成，但部分学生在基础知识、基本技能的掌握以及系统学习能力方面仍有待大幅提升。</w:t>
            </w:r>
          </w:p>
        </w:tc>
        <w:tc>
          <w:tcPr>
            <w:tcW w:w="4663" w:type="dxa"/>
            <w:vMerge w:val="restart"/>
            <w:vAlign w:val="center"/>
          </w:tcPr>
          <w:p w14:paraId="75D4EA29">
            <w:pPr>
              <w:keepNext w:val="0"/>
              <w:keepLines w:val="0"/>
              <w:widowControl/>
              <w:suppressLineNumbers w:val="0"/>
              <w:pBdr>
                <w:top w:val="none" w:color="auto" w:sz="0" w:space="0"/>
                <w:left w:val="none" w:color="auto" w:sz="0" w:space="0"/>
                <w:bottom w:val="none" w:color="auto" w:sz="0" w:space="0"/>
                <w:right w:val="none" w:color="auto" w:sz="0" w:space="0"/>
              </w:pBdr>
              <w:jc w:val="left"/>
              <w:textAlignment w:val="top"/>
              <w:rPr>
                <w:rFonts w:hint="eastAsia" w:ascii="仿宋_GB2312" w:hAnsi="仿宋_GB2312" w:eastAsia="仿宋_GB2312" w:cs="仿宋_GB2312"/>
                <w:spacing w:val="-4"/>
                <w:sz w:val="21"/>
                <w:szCs w:val="21"/>
              </w:rPr>
            </w:pPr>
            <w:r>
              <w:rPr>
                <w:rFonts w:hint="eastAsia" w:ascii="仿宋_GB2312" w:hAnsi="仿宋_GB2312" w:eastAsia="仿宋_GB2312" w:cs="仿宋_GB2312"/>
                <w:snapToGrid w:val="0"/>
                <w:color w:val="000000"/>
                <w:kern w:val="0"/>
                <w:sz w:val="21"/>
                <w:szCs w:val="21"/>
                <w:lang w:val="en-US" w:eastAsia="zh-CN" w:bidi="ar"/>
              </w:rPr>
              <w:t>教师在教学过程中加强对学生基础知识和基本技能的训练，增加课堂互动环节，及时了解学生学习情况并进行针对性辅导。同时，引导学生建立知识体系，通过项目式学习、课程设计等方式，培养学生系统分析和解决问题的能力 。</w:t>
            </w:r>
          </w:p>
        </w:tc>
      </w:tr>
      <w:tr w14:paraId="18A3C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2037" w:type="dxa"/>
            <w:vAlign w:val="center"/>
          </w:tcPr>
          <w:p w14:paraId="73BBCDFD">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pacing w:val="-4"/>
                <w:sz w:val="21"/>
                <w:szCs w:val="21"/>
              </w:rPr>
            </w:pPr>
            <w:r>
              <w:rPr>
                <w:rFonts w:hint="eastAsia" w:ascii="仿宋_GB2312" w:hAnsi="仿宋_GB2312" w:eastAsia="仿宋_GB2312" w:cs="仿宋_GB2312"/>
                <w:spacing w:val="-4"/>
                <w:sz w:val="21"/>
                <w:szCs w:val="21"/>
              </w:rPr>
              <w:t>专业学习效果</w:t>
            </w:r>
          </w:p>
        </w:tc>
        <w:tc>
          <w:tcPr>
            <w:tcW w:w="2150" w:type="dxa"/>
            <w:vMerge w:val="continue"/>
            <w:vAlign w:val="center"/>
          </w:tcPr>
          <w:p w14:paraId="5CED2EE6">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pacing w:val="-4"/>
                <w:sz w:val="21"/>
                <w:szCs w:val="21"/>
              </w:rPr>
            </w:pPr>
          </w:p>
        </w:tc>
        <w:tc>
          <w:tcPr>
            <w:tcW w:w="4663" w:type="dxa"/>
            <w:vMerge w:val="continue"/>
            <w:vAlign w:val="center"/>
          </w:tcPr>
          <w:p w14:paraId="1275DA2F">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left="0" w:leftChars="0" w:right="0" w:firstLine="0" w:firstLineChars="0"/>
              <w:jc w:val="center"/>
              <w:textAlignment w:val="baseline"/>
              <w:rPr>
                <w:rFonts w:hint="eastAsia" w:ascii="仿宋_GB2312" w:hAnsi="仿宋_GB2312" w:eastAsia="仿宋_GB2312" w:cs="仿宋_GB2312"/>
                <w:spacing w:val="-4"/>
                <w:sz w:val="21"/>
                <w:szCs w:val="21"/>
              </w:rPr>
            </w:pPr>
          </w:p>
        </w:tc>
      </w:tr>
    </w:tbl>
    <w:p w14:paraId="6FFE6AD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textAlignment w:val="baseline"/>
        <w:rPr>
          <w:rFonts w:ascii="Arial"/>
          <w:sz w:val="28"/>
          <w:szCs w:val="28"/>
        </w:rPr>
      </w:pPr>
    </w:p>
    <w:p w14:paraId="7B6DFF66">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textAlignment w:val="baseline"/>
        <w:rPr>
          <w:sz w:val="28"/>
          <w:szCs w:val="28"/>
        </w:rPr>
      </w:pPr>
    </w:p>
    <w:p w14:paraId="402AA3A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jc w:val="center"/>
        <w:textAlignment w:val="baseline"/>
        <w:rPr>
          <w:sz w:val="28"/>
          <w:szCs w:val="28"/>
        </w:rPr>
      </w:pPr>
      <w:r>
        <w:drawing>
          <wp:inline distT="0" distB="0" distL="114300" distR="114300">
            <wp:extent cx="4826000" cy="2743200"/>
            <wp:effectExtent l="4445" t="4445" r="8255" b="14605"/>
            <wp:docPr id="4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B06B77B">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eastAsia="zh-CN"/>
        </w:rPr>
      </w:pPr>
      <w:bookmarkStart w:id="402" w:name="bookmark91"/>
      <w:bookmarkEnd w:id="402"/>
      <w:bookmarkStart w:id="403" w:name="_Toc15469"/>
      <w:bookmarkStart w:id="404" w:name="_Toc18238"/>
      <w:bookmarkStart w:id="405" w:name="_Toc32474"/>
      <w:bookmarkStart w:id="406" w:name="_Toc14949"/>
      <w:bookmarkStart w:id="407" w:name="_Toc31794"/>
      <w:bookmarkStart w:id="408" w:name="_Toc3387"/>
      <w:bookmarkStart w:id="409" w:name="_Toc22721"/>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2-5</w:t>
      </w:r>
      <w:r>
        <w:rPr>
          <w:rFonts w:hint="eastAsia" w:ascii="黑体" w:hAnsi="黑体" w:eastAsia="黑体" w:cs="黑体"/>
          <w:b w:val="0"/>
          <w:bCs w:val="0"/>
          <w:sz w:val="21"/>
          <w:szCs w:val="21"/>
          <w:lang w:eastAsia="zh-CN"/>
        </w:rPr>
        <w:t>学生校园生活满意度</w:t>
      </w:r>
      <w:bookmarkEnd w:id="403"/>
      <w:bookmarkEnd w:id="404"/>
      <w:bookmarkEnd w:id="405"/>
      <w:bookmarkEnd w:id="406"/>
      <w:bookmarkEnd w:id="407"/>
      <w:bookmarkEnd w:id="408"/>
      <w:bookmarkEnd w:id="409"/>
    </w:p>
    <w:p w14:paraId="588E2A03">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textAlignment w:val="baseline"/>
        <w:rPr>
          <w:sz w:val="28"/>
          <w:szCs w:val="28"/>
        </w:rPr>
      </w:pPr>
    </w:p>
    <w:p w14:paraId="43F9F79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jc w:val="center"/>
        <w:textAlignment w:val="baseline"/>
        <w:rPr>
          <w:sz w:val="28"/>
          <w:szCs w:val="28"/>
        </w:rPr>
      </w:pPr>
      <w:r>
        <w:drawing>
          <wp:inline distT="0" distB="0" distL="114300" distR="114300">
            <wp:extent cx="4826000" cy="2743200"/>
            <wp:effectExtent l="4445" t="4445" r="8255" b="14605"/>
            <wp:docPr id="4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5A7872">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eastAsia="zh-CN"/>
        </w:rPr>
      </w:pPr>
      <w:bookmarkStart w:id="410" w:name="bookmark93"/>
      <w:bookmarkEnd w:id="410"/>
      <w:bookmarkStart w:id="411" w:name="_Toc29668"/>
      <w:bookmarkStart w:id="412" w:name="_Toc30438"/>
      <w:bookmarkStart w:id="413" w:name="_Toc5563"/>
      <w:bookmarkStart w:id="414" w:name="_Toc19799"/>
      <w:bookmarkStart w:id="415" w:name="_Toc13606"/>
      <w:bookmarkStart w:id="416" w:name="_Toc31158"/>
      <w:bookmarkStart w:id="417" w:name="_Toc9632"/>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2-6</w:t>
      </w:r>
      <w:r>
        <w:rPr>
          <w:rFonts w:hint="eastAsia" w:ascii="黑体" w:hAnsi="黑体" w:eastAsia="黑体" w:cs="黑体"/>
          <w:b w:val="0"/>
          <w:bCs w:val="0"/>
          <w:sz w:val="21"/>
          <w:szCs w:val="21"/>
          <w:lang w:eastAsia="zh-CN"/>
        </w:rPr>
        <w:t>学生校园安全满意度</w:t>
      </w:r>
      <w:bookmarkEnd w:id="411"/>
      <w:bookmarkEnd w:id="412"/>
      <w:bookmarkEnd w:id="413"/>
      <w:bookmarkEnd w:id="414"/>
      <w:bookmarkEnd w:id="415"/>
      <w:bookmarkEnd w:id="416"/>
      <w:bookmarkEnd w:id="417"/>
    </w:p>
    <w:p w14:paraId="07899709">
      <w:pPr>
        <w:rPr>
          <w:rFonts w:hint="eastAsia" w:ascii="黑体" w:hAnsi="黑体" w:eastAsia="黑体" w:cs="黑体"/>
          <w:b w:val="0"/>
          <w:bCs w:val="0"/>
          <w:sz w:val="21"/>
          <w:szCs w:val="21"/>
          <w:lang w:eastAsia="zh-CN"/>
        </w:rPr>
      </w:pPr>
    </w:p>
    <w:p w14:paraId="291D8D14">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textAlignment w:val="baseline"/>
        <w:rPr>
          <w:sz w:val="28"/>
          <w:szCs w:val="28"/>
        </w:rPr>
      </w:pPr>
    </w:p>
    <w:p w14:paraId="6397259E">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4"/>
          <w:szCs w:val="24"/>
          <w:lang w:eastAsia="zh-CN"/>
        </w:rPr>
      </w:pPr>
      <w:bookmarkStart w:id="418" w:name="bookmark67"/>
      <w:bookmarkEnd w:id="418"/>
      <w:bookmarkStart w:id="419" w:name="_Toc25340"/>
      <w:bookmarkStart w:id="420" w:name="_Toc4913"/>
      <w:bookmarkStart w:id="421" w:name="_Toc6783"/>
      <w:bookmarkStart w:id="422" w:name="_Toc29938"/>
      <w:bookmarkStart w:id="423" w:name="_Toc6720"/>
      <w:bookmarkStart w:id="424" w:name="_Toc12563"/>
      <w:bookmarkStart w:id="425" w:name="_Toc27561"/>
      <w:r>
        <w:rPr>
          <w:rFonts w:hint="eastAsia" w:ascii="黑体" w:hAnsi="黑体" w:eastAsia="黑体" w:cs="黑体"/>
          <w:b w:val="0"/>
          <w:bCs w:val="0"/>
          <w:sz w:val="24"/>
          <w:szCs w:val="24"/>
          <w:lang w:eastAsia="zh-CN"/>
        </w:rPr>
        <w:t>表</w:t>
      </w:r>
      <w:r>
        <w:rPr>
          <w:rFonts w:hint="eastAsia" w:ascii="黑体" w:hAnsi="黑体" w:eastAsia="黑体" w:cs="黑体"/>
          <w:b w:val="0"/>
          <w:bCs w:val="0"/>
          <w:sz w:val="24"/>
          <w:szCs w:val="24"/>
          <w:lang w:val="en-US" w:eastAsia="zh-CN"/>
        </w:rPr>
        <w:t>2-3</w:t>
      </w:r>
      <w:r>
        <w:rPr>
          <w:rFonts w:hint="eastAsia" w:ascii="黑体" w:hAnsi="黑体" w:eastAsia="黑体" w:cs="黑体"/>
          <w:b w:val="0"/>
          <w:bCs w:val="0"/>
          <w:sz w:val="24"/>
          <w:szCs w:val="24"/>
          <w:lang w:eastAsia="zh-CN"/>
        </w:rPr>
        <w:t>学生对餐厅整体评价意见</w:t>
      </w:r>
      <w:bookmarkEnd w:id="419"/>
      <w:bookmarkEnd w:id="420"/>
      <w:bookmarkEnd w:id="421"/>
      <w:bookmarkEnd w:id="422"/>
      <w:bookmarkEnd w:id="423"/>
      <w:bookmarkEnd w:id="424"/>
      <w:bookmarkEnd w:id="425"/>
    </w:p>
    <w:tbl>
      <w:tblPr>
        <w:tblStyle w:val="19"/>
        <w:tblW w:w="813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64"/>
        <w:gridCol w:w="4893"/>
        <w:gridCol w:w="1282"/>
      </w:tblGrid>
      <w:tr w14:paraId="294C2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1964" w:type="dxa"/>
            <w:vAlign w:val="center"/>
          </w:tcPr>
          <w:p w14:paraId="16988D32">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4"/>
                <w:sz w:val="21"/>
                <w:szCs w:val="21"/>
              </w:rPr>
              <w:t>评价项目</w:t>
            </w:r>
          </w:p>
        </w:tc>
        <w:tc>
          <w:tcPr>
            <w:tcW w:w="4893" w:type="dxa"/>
            <w:vAlign w:val="center"/>
          </w:tcPr>
          <w:p w14:paraId="36655638">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14"/>
                <w:sz w:val="21"/>
                <w:szCs w:val="21"/>
              </w:rPr>
              <w:t>学生意见</w:t>
            </w:r>
          </w:p>
        </w:tc>
        <w:tc>
          <w:tcPr>
            <w:tcW w:w="1282" w:type="dxa"/>
            <w:vAlign w:val="center"/>
          </w:tcPr>
          <w:p w14:paraId="5A6DE017">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0" w:firstLineChars="0"/>
              <w:jc w:val="center"/>
              <w:textAlignment w:val="baseline"/>
              <w:rPr>
                <w:rFonts w:hint="eastAsia" w:ascii="仿宋_GB2312" w:hAnsi="仿宋_GB2312" w:eastAsia="仿宋_GB2312" w:cs="仿宋_GB2312"/>
                <w:b/>
                <w:bCs/>
                <w:sz w:val="21"/>
                <w:szCs w:val="21"/>
              </w:rPr>
            </w:pPr>
            <w:r>
              <w:rPr>
                <w:rFonts w:hint="eastAsia" w:ascii="仿宋_GB2312" w:hAnsi="仿宋_GB2312" w:eastAsia="仿宋_GB2312" w:cs="仿宋_GB2312"/>
                <w:b/>
                <w:bCs/>
                <w:spacing w:val="4"/>
                <w:sz w:val="21"/>
                <w:szCs w:val="21"/>
              </w:rPr>
              <w:t>处理措施</w:t>
            </w:r>
          </w:p>
        </w:tc>
      </w:tr>
      <w:tr w14:paraId="756D6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964" w:type="dxa"/>
            <w:vAlign w:val="center"/>
          </w:tcPr>
          <w:p w14:paraId="121DF19F">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5"/>
                <w:sz w:val="21"/>
                <w:szCs w:val="21"/>
              </w:rPr>
              <w:t>环境卫生</w:t>
            </w:r>
          </w:p>
        </w:tc>
        <w:tc>
          <w:tcPr>
            <w:tcW w:w="4893" w:type="dxa"/>
            <w:vAlign w:val="center"/>
          </w:tcPr>
          <w:p w14:paraId="60A47C30">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7"/>
                <w:sz w:val="21"/>
                <w:szCs w:val="21"/>
              </w:rPr>
              <w:t>餐厅死角卫生没有及时清理。</w:t>
            </w:r>
          </w:p>
        </w:tc>
        <w:tc>
          <w:tcPr>
            <w:tcW w:w="1282" w:type="dxa"/>
            <w:vAlign w:val="center"/>
          </w:tcPr>
          <w:p w14:paraId="0C963E74">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5"/>
                <w:sz w:val="21"/>
                <w:szCs w:val="21"/>
              </w:rPr>
              <w:t>及时处理</w:t>
            </w:r>
          </w:p>
        </w:tc>
      </w:tr>
      <w:tr w14:paraId="68A3F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964" w:type="dxa"/>
            <w:vAlign w:val="center"/>
          </w:tcPr>
          <w:p w14:paraId="6FEBF952">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5"/>
                <w:sz w:val="21"/>
                <w:szCs w:val="21"/>
              </w:rPr>
              <w:t>饭菜质量</w:t>
            </w:r>
          </w:p>
        </w:tc>
        <w:tc>
          <w:tcPr>
            <w:tcW w:w="4893" w:type="dxa"/>
            <w:vAlign w:val="center"/>
          </w:tcPr>
          <w:p w14:paraId="02CFA426">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6"/>
                <w:sz w:val="21"/>
                <w:szCs w:val="21"/>
              </w:rPr>
              <w:t>口味比以前好吃，多加些肉菜品类。</w:t>
            </w:r>
          </w:p>
        </w:tc>
        <w:tc>
          <w:tcPr>
            <w:tcW w:w="1282" w:type="dxa"/>
            <w:vAlign w:val="center"/>
          </w:tcPr>
          <w:p w14:paraId="58F81D90">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5"/>
                <w:sz w:val="21"/>
                <w:szCs w:val="21"/>
              </w:rPr>
              <w:t>调整品类</w:t>
            </w:r>
          </w:p>
        </w:tc>
      </w:tr>
      <w:tr w14:paraId="774C5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1964" w:type="dxa"/>
            <w:vAlign w:val="center"/>
          </w:tcPr>
          <w:p w14:paraId="5587744E">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5"/>
                <w:sz w:val="21"/>
                <w:szCs w:val="21"/>
              </w:rPr>
              <w:t>服务态度</w:t>
            </w:r>
          </w:p>
        </w:tc>
        <w:tc>
          <w:tcPr>
            <w:tcW w:w="4893" w:type="dxa"/>
            <w:vAlign w:val="center"/>
          </w:tcPr>
          <w:p w14:paraId="4DA36AF5">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7"/>
                <w:sz w:val="21"/>
                <w:szCs w:val="21"/>
              </w:rPr>
              <w:t>比较满意，对餐厅工作人员不太满意。</w:t>
            </w:r>
          </w:p>
        </w:tc>
        <w:tc>
          <w:tcPr>
            <w:tcW w:w="1282" w:type="dxa"/>
            <w:vAlign w:val="center"/>
          </w:tcPr>
          <w:p w14:paraId="5BEB995F">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5"/>
                <w:sz w:val="21"/>
                <w:szCs w:val="21"/>
              </w:rPr>
              <w:t>个别谈话</w:t>
            </w:r>
          </w:p>
        </w:tc>
      </w:tr>
      <w:tr w14:paraId="75B37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964" w:type="dxa"/>
            <w:vAlign w:val="center"/>
          </w:tcPr>
          <w:p w14:paraId="4AE5CF81">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4"/>
                <w:sz w:val="21"/>
                <w:szCs w:val="21"/>
              </w:rPr>
              <w:t>综合评价</w:t>
            </w:r>
          </w:p>
        </w:tc>
        <w:tc>
          <w:tcPr>
            <w:tcW w:w="4893" w:type="dxa"/>
            <w:vAlign w:val="center"/>
          </w:tcPr>
          <w:p w14:paraId="164E5187">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firstLine="0" w:firstLineChars="0"/>
              <w:jc w:val="center"/>
              <w:textAlignment w:val="baseline"/>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pacing w:val="5"/>
                <w:sz w:val="21"/>
                <w:szCs w:val="21"/>
              </w:rPr>
              <w:t>满意率达到95%以上。</w:t>
            </w:r>
          </w:p>
        </w:tc>
        <w:tc>
          <w:tcPr>
            <w:tcW w:w="1282" w:type="dxa"/>
            <w:vAlign w:val="center"/>
          </w:tcPr>
          <w:p w14:paraId="3F0FDDE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b w:val="0"/>
                <w:bCs w:val="0"/>
                <w:sz w:val="21"/>
                <w:szCs w:val="21"/>
              </w:rPr>
            </w:pPr>
          </w:p>
        </w:tc>
      </w:tr>
    </w:tbl>
    <w:p w14:paraId="62B1344E">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4"/>
          <w:szCs w:val="24"/>
          <w:lang w:eastAsia="zh-CN"/>
        </w:rPr>
      </w:pPr>
      <w:bookmarkStart w:id="426" w:name="bookmark69"/>
      <w:bookmarkEnd w:id="426"/>
      <w:bookmarkStart w:id="427" w:name="_Toc10578"/>
      <w:bookmarkStart w:id="428" w:name="_Toc15733"/>
      <w:bookmarkStart w:id="429" w:name="_Toc29209"/>
      <w:bookmarkStart w:id="430" w:name="_Toc25133"/>
      <w:bookmarkStart w:id="431" w:name="_Toc5324"/>
      <w:bookmarkStart w:id="432" w:name="_Toc11381"/>
      <w:r>
        <w:rPr>
          <w:rFonts w:hint="eastAsia" w:ascii="黑体" w:hAnsi="黑体" w:eastAsia="黑体" w:cs="黑体"/>
          <w:b w:val="0"/>
          <w:bCs w:val="0"/>
          <w:sz w:val="24"/>
          <w:szCs w:val="24"/>
          <w:lang w:eastAsia="zh-CN"/>
        </w:rPr>
        <w:t>表</w:t>
      </w:r>
      <w:r>
        <w:rPr>
          <w:rFonts w:hint="eastAsia" w:ascii="黑体" w:hAnsi="黑体" w:eastAsia="黑体" w:cs="黑体"/>
          <w:b w:val="0"/>
          <w:bCs w:val="0"/>
          <w:sz w:val="24"/>
          <w:szCs w:val="24"/>
          <w:lang w:val="en-US" w:eastAsia="zh-CN"/>
        </w:rPr>
        <w:t>2-4</w:t>
      </w:r>
      <w:r>
        <w:rPr>
          <w:rFonts w:hint="eastAsia" w:ascii="黑体" w:hAnsi="黑体" w:eastAsia="黑体" w:cs="黑体"/>
          <w:b w:val="0"/>
          <w:bCs w:val="0"/>
          <w:sz w:val="24"/>
          <w:szCs w:val="24"/>
          <w:lang w:eastAsia="zh-CN"/>
        </w:rPr>
        <w:t>满意度调查表</w:t>
      </w:r>
      <w:bookmarkEnd w:id="427"/>
      <w:bookmarkEnd w:id="428"/>
      <w:bookmarkEnd w:id="429"/>
      <w:bookmarkEnd w:id="430"/>
      <w:bookmarkEnd w:id="431"/>
      <w:bookmarkEnd w:id="432"/>
    </w:p>
    <w:tbl>
      <w:tblPr>
        <w:tblStyle w:val="19"/>
        <w:tblW w:w="85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36"/>
        <w:gridCol w:w="731"/>
        <w:gridCol w:w="897"/>
        <w:gridCol w:w="1679"/>
        <w:gridCol w:w="1337"/>
      </w:tblGrid>
      <w:tr w14:paraId="4404E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8580" w:type="dxa"/>
            <w:gridSpan w:val="5"/>
            <w:vAlign w:val="center"/>
          </w:tcPr>
          <w:p w14:paraId="78D86A3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2"/>
                <w:sz w:val="21"/>
                <w:szCs w:val="21"/>
              </w:rPr>
              <w:t>满意度调查表</w:t>
            </w:r>
          </w:p>
        </w:tc>
      </w:tr>
      <w:tr w14:paraId="7FC08C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3936" w:type="dxa"/>
            <w:vAlign w:val="center"/>
          </w:tcPr>
          <w:p w14:paraId="27E1281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5"/>
                <w:sz w:val="21"/>
                <w:szCs w:val="21"/>
              </w:rPr>
              <w:t>指标</w:t>
            </w:r>
          </w:p>
        </w:tc>
        <w:tc>
          <w:tcPr>
            <w:tcW w:w="731" w:type="dxa"/>
            <w:vAlign w:val="center"/>
          </w:tcPr>
          <w:p w14:paraId="4C07BED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单位</w:t>
            </w:r>
          </w:p>
        </w:tc>
        <w:tc>
          <w:tcPr>
            <w:tcW w:w="897" w:type="dxa"/>
            <w:vAlign w:val="center"/>
          </w:tcPr>
          <w:p w14:paraId="3EBE50E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值</w:t>
            </w:r>
          </w:p>
        </w:tc>
        <w:tc>
          <w:tcPr>
            <w:tcW w:w="1679" w:type="dxa"/>
            <w:vAlign w:val="center"/>
          </w:tcPr>
          <w:p w14:paraId="542C836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调查方式</w:t>
            </w:r>
          </w:p>
        </w:tc>
        <w:tc>
          <w:tcPr>
            <w:tcW w:w="1337" w:type="dxa"/>
            <w:vAlign w:val="center"/>
          </w:tcPr>
          <w:p w14:paraId="761537C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调查人</w:t>
            </w:r>
            <w:r>
              <w:rPr>
                <w:rFonts w:hint="eastAsia" w:ascii="仿宋_GB2312" w:hAnsi="仿宋_GB2312" w:eastAsia="仿宋_GB2312" w:cs="仿宋_GB2312"/>
                <w:sz w:val="21"/>
                <w:szCs w:val="21"/>
              </w:rPr>
              <w:t>次</w:t>
            </w:r>
          </w:p>
        </w:tc>
      </w:tr>
      <w:tr w14:paraId="6CB8E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936" w:type="dxa"/>
            <w:shd w:val="clear" w:color="auto" w:fill="auto"/>
            <w:vAlign w:val="top"/>
          </w:tcPr>
          <w:p w14:paraId="5202152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毕业生满意度</w:t>
            </w:r>
          </w:p>
        </w:tc>
        <w:tc>
          <w:tcPr>
            <w:tcW w:w="731" w:type="dxa"/>
            <w:shd w:val="clear" w:color="auto" w:fill="auto"/>
            <w:vAlign w:val="top"/>
          </w:tcPr>
          <w:p w14:paraId="7365FAD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w:t>
            </w:r>
          </w:p>
        </w:tc>
        <w:tc>
          <w:tcPr>
            <w:tcW w:w="897" w:type="dxa"/>
            <w:shd w:val="clear" w:color="auto" w:fill="auto"/>
            <w:vAlign w:val="top"/>
          </w:tcPr>
          <w:p w14:paraId="27B0EE3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rPr>
              <w:t>96</w:t>
            </w:r>
            <w:r>
              <w:rPr>
                <w:rFonts w:hint="eastAsia" w:ascii="仿宋_GB2312" w:hAnsi="仿宋_GB2312" w:eastAsia="仿宋_GB2312" w:cs="仿宋_GB2312"/>
                <w:spacing w:val="-1"/>
                <w:sz w:val="21"/>
                <w:szCs w:val="21"/>
                <w:lang w:val="en-US" w:eastAsia="zh-CN"/>
              </w:rPr>
              <w:t>.5</w:t>
            </w:r>
          </w:p>
        </w:tc>
        <w:tc>
          <w:tcPr>
            <w:tcW w:w="1679" w:type="dxa"/>
            <w:shd w:val="clear" w:color="auto" w:fill="auto"/>
            <w:vAlign w:val="top"/>
          </w:tcPr>
          <w:p w14:paraId="63DA010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5"/>
                <w:sz w:val="21"/>
                <w:szCs w:val="21"/>
              </w:rPr>
              <w:t>网络问卷调</w:t>
            </w:r>
            <w:r>
              <w:rPr>
                <w:rFonts w:hint="eastAsia" w:ascii="仿宋_GB2312" w:hAnsi="仿宋_GB2312" w:eastAsia="仿宋_GB2312" w:cs="仿宋_GB2312"/>
                <w:sz w:val="21"/>
                <w:szCs w:val="21"/>
              </w:rPr>
              <w:t>查</w:t>
            </w:r>
          </w:p>
        </w:tc>
        <w:tc>
          <w:tcPr>
            <w:tcW w:w="1337" w:type="dxa"/>
            <w:shd w:val="clear" w:color="auto" w:fill="auto"/>
            <w:vAlign w:val="top"/>
          </w:tcPr>
          <w:p w14:paraId="4A6B511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607</w:t>
            </w:r>
          </w:p>
        </w:tc>
      </w:tr>
      <w:tr w14:paraId="24A9A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jc w:val="center"/>
        </w:trPr>
        <w:tc>
          <w:tcPr>
            <w:tcW w:w="3936" w:type="dxa"/>
            <w:shd w:val="clear" w:color="auto" w:fill="auto"/>
            <w:vAlign w:val="top"/>
          </w:tcPr>
          <w:p w14:paraId="33E949A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其中：应届毕业生满意度</w:t>
            </w:r>
          </w:p>
        </w:tc>
        <w:tc>
          <w:tcPr>
            <w:tcW w:w="731" w:type="dxa"/>
            <w:shd w:val="clear" w:color="auto" w:fill="auto"/>
            <w:vAlign w:val="top"/>
          </w:tcPr>
          <w:p w14:paraId="185BC87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w:t>
            </w:r>
          </w:p>
        </w:tc>
        <w:tc>
          <w:tcPr>
            <w:tcW w:w="897" w:type="dxa"/>
            <w:shd w:val="clear" w:color="auto" w:fill="auto"/>
            <w:vAlign w:val="top"/>
          </w:tcPr>
          <w:p w14:paraId="0424198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98</w:t>
            </w:r>
          </w:p>
        </w:tc>
        <w:tc>
          <w:tcPr>
            <w:tcW w:w="1679" w:type="dxa"/>
            <w:shd w:val="clear" w:color="auto" w:fill="auto"/>
            <w:vAlign w:val="top"/>
          </w:tcPr>
          <w:p w14:paraId="7C91181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5"/>
                <w:sz w:val="21"/>
                <w:szCs w:val="21"/>
              </w:rPr>
              <w:t>网络问卷调</w:t>
            </w:r>
            <w:r>
              <w:rPr>
                <w:rFonts w:hint="eastAsia" w:ascii="仿宋_GB2312" w:hAnsi="仿宋_GB2312" w:eastAsia="仿宋_GB2312" w:cs="仿宋_GB2312"/>
                <w:sz w:val="21"/>
                <w:szCs w:val="21"/>
              </w:rPr>
              <w:t>查</w:t>
            </w:r>
          </w:p>
        </w:tc>
        <w:tc>
          <w:tcPr>
            <w:tcW w:w="1337" w:type="dxa"/>
            <w:shd w:val="clear" w:color="auto" w:fill="auto"/>
            <w:vAlign w:val="top"/>
          </w:tcPr>
          <w:p w14:paraId="7D5C975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368</w:t>
            </w:r>
          </w:p>
        </w:tc>
      </w:tr>
      <w:tr w14:paraId="744B5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936" w:type="dxa"/>
            <w:shd w:val="clear" w:color="auto" w:fill="auto"/>
            <w:vAlign w:val="top"/>
          </w:tcPr>
          <w:p w14:paraId="7683799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毕业三年内毕业生满意度</w:t>
            </w:r>
          </w:p>
        </w:tc>
        <w:tc>
          <w:tcPr>
            <w:tcW w:w="731" w:type="dxa"/>
            <w:shd w:val="clear" w:color="auto" w:fill="auto"/>
            <w:vAlign w:val="top"/>
          </w:tcPr>
          <w:p w14:paraId="60E4E3F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w:t>
            </w:r>
          </w:p>
        </w:tc>
        <w:tc>
          <w:tcPr>
            <w:tcW w:w="897" w:type="dxa"/>
            <w:shd w:val="clear" w:color="auto" w:fill="auto"/>
            <w:vAlign w:val="top"/>
          </w:tcPr>
          <w:p w14:paraId="060585F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97</w:t>
            </w:r>
          </w:p>
        </w:tc>
        <w:tc>
          <w:tcPr>
            <w:tcW w:w="1679" w:type="dxa"/>
            <w:shd w:val="clear" w:color="auto" w:fill="auto"/>
            <w:vAlign w:val="top"/>
          </w:tcPr>
          <w:p w14:paraId="26199DF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5"/>
                <w:sz w:val="21"/>
                <w:szCs w:val="21"/>
              </w:rPr>
              <w:t>网络问卷调</w:t>
            </w:r>
            <w:r>
              <w:rPr>
                <w:rFonts w:hint="eastAsia" w:ascii="仿宋_GB2312" w:hAnsi="仿宋_GB2312" w:eastAsia="仿宋_GB2312" w:cs="仿宋_GB2312"/>
                <w:sz w:val="21"/>
                <w:szCs w:val="21"/>
              </w:rPr>
              <w:t>查</w:t>
            </w:r>
          </w:p>
        </w:tc>
        <w:tc>
          <w:tcPr>
            <w:tcW w:w="1337" w:type="dxa"/>
            <w:shd w:val="clear" w:color="auto" w:fill="auto"/>
            <w:vAlign w:val="top"/>
          </w:tcPr>
          <w:p w14:paraId="517841C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239</w:t>
            </w:r>
          </w:p>
        </w:tc>
      </w:tr>
      <w:tr w14:paraId="6F4E9C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3936" w:type="dxa"/>
            <w:shd w:val="clear" w:color="auto" w:fill="auto"/>
            <w:vAlign w:val="top"/>
          </w:tcPr>
          <w:p w14:paraId="4790F17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用人单位满意度</w:t>
            </w:r>
          </w:p>
        </w:tc>
        <w:tc>
          <w:tcPr>
            <w:tcW w:w="731" w:type="dxa"/>
            <w:shd w:val="clear" w:color="auto" w:fill="auto"/>
            <w:vAlign w:val="top"/>
          </w:tcPr>
          <w:p w14:paraId="24884EC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w:t>
            </w:r>
          </w:p>
        </w:tc>
        <w:tc>
          <w:tcPr>
            <w:tcW w:w="897" w:type="dxa"/>
            <w:shd w:val="clear" w:color="auto" w:fill="auto"/>
            <w:vAlign w:val="top"/>
          </w:tcPr>
          <w:p w14:paraId="54658D7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98</w:t>
            </w:r>
          </w:p>
        </w:tc>
        <w:tc>
          <w:tcPr>
            <w:tcW w:w="1679" w:type="dxa"/>
            <w:shd w:val="clear" w:color="auto" w:fill="auto"/>
            <w:vAlign w:val="top"/>
          </w:tcPr>
          <w:p w14:paraId="296E141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电话访问</w:t>
            </w:r>
          </w:p>
        </w:tc>
        <w:tc>
          <w:tcPr>
            <w:tcW w:w="1337" w:type="dxa"/>
            <w:shd w:val="clear" w:color="auto" w:fill="auto"/>
            <w:vAlign w:val="top"/>
          </w:tcPr>
          <w:p w14:paraId="53653B7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rPr>
              <w:t>3</w:t>
            </w:r>
            <w:r>
              <w:rPr>
                <w:rFonts w:hint="eastAsia" w:ascii="仿宋_GB2312" w:hAnsi="仿宋_GB2312" w:eastAsia="仿宋_GB2312" w:cs="仿宋_GB2312"/>
                <w:spacing w:val="-1"/>
                <w:sz w:val="21"/>
                <w:szCs w:val="21"/>
                <w:lang w:val="en-US" w:eastAsia="zh-CN"/>
              </w:rPr>
              <w:t>8</w:t>
            </w:r>
          </w:p>
        </w:tc>
      </w:tr>
      <w:tr w14:paraId="552E19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3936" w:type="dxa"/>
            <w:shd w:val="clear" w:color="auto" w:fill="auto"/>
            <w:vAlign w:val="top"/>
          </w:tcPr>
          <w:p w14:paraId="58B72B1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家长满意度</w:t>
            </w:r>
          </w:p>
        </w:tc>
        <w:tc>
          <w:tcPr>
            <w:tcW w:w="731" w:type="dxa"/>
            <w:shd w:val="clear" w:color="auto" w:fill="auto"/>
            <w:vAlign w:val="top"/>
          </w:tcPr>
          <w:p w14:paraId="5A3C713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w:t>
            </w:r>
          </w:p>
        </w:tc>
        <w:tc>
          <w:tcPr>
            <w:tcW w:w="897" w:type="dxa"/>
            <w:shd w:val="clear" w:color="auto" w:fill="auto"/>
            <w:vAlign w:val="top"/>
          </w:tcPr>
          <w:p w14:paraId="597A29E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rPr>
              <w:t>97</w:t>
            </w:r>
            <w:r>
              <w:rPr>
                <w:rFonts w:hint="eastAsia" w:ascii="仿宋_GB2312" w:hAnsi="仿宋_GB2312" w:eastAsia="仿宋_GB2312" w:cs="仿宋_GB2312"/>
                <w:spacing w:val="-1"/>
                <w:sz w:val="21"/>
                <w:szCs w:val="21"/>
                <w:lang w:val="en-US" w:eastAsia="zh-CN"/>
              </w:rPr>
              <w:t>.2</w:t>
            </w:r>
          </w:p>
        </w:tc>
        <w:tc>
          <w:tcPr>
            <w:tcW w:w="1679" w:type="dxa"/>
            <w:shd w:val="clear" w:color="auto" w:fill="auto"/>
            <w:vAlign w:val="top"/>
          </w:tcPr>
          <w:p w14:paraId="4F7805B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pacing w:val="-1"/>
                <w:sz w:val="21"/>
                <w:szCs w:val="21"/>
                <w:lang w:val="en-US" w:eastAsia="en-US"/>
              </w:rPr>
            </w:pPr>
            <w:r>
              <w:rPr>
                <w:rFonts w:hint="eastAsia" w:ascii="仿宋_GB2312" w:hAnsi="仿宋_GB2312" w:eastAsia="仿宋_GB2312" w:cs="仿宋_GB2312"/>
                <w:spacing w:val="-1"/>
                <w:sz w:val="21"/>
                <w:szCs w:val="21"/>
              </w:rPr>
              <w:t>电话访问</w:t>
            </w:r>
          </w:p>
        </w:tc>
        <w:tc>
          <w:tcPr>
            <w:tcW w:w="1337" w:type="dxa"/>
            <w:shd w:val="clear" w:color="auto" w:fill="auto"/>
            <w:vAlign w:val="top"/>
          </w:tcPr>
          <w:p w14:paraId="171E44B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pacing w:val="-1"/>
                <w:sz w:val="21"/>
                <w:szCs w:val="21"/>
                <w:lang w:val="en-US" w:eastAsia="zh-CN"/>
              </w:rPr>
            </w:pPr>
            <w:r>
              <w:rPr>
                <w:rFonts w:hint="eastAsia" w:ascii="仿宋_GB2312" w:hAnsi="仿宋_GB2312" w:eastAsia="仿宋_GB2312" w:cs="仿宋_GB2312"/>
                <w:spacing w:val="-1"/>
                <w:sz w:val="21"/>
                <w:szCs w:val="21"/>
                <w:lang w:val="en-US" w:eastAsia="zh-CN"/>
              </w:rPr>
              <w:t>164</w:t>
            </w:r>
          </w:p>
        </w:tc>
      </w:tr>
    </w:tbl>
    <w:p w14:paraId="6C650B71">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0"/>
        <w:textAlignment w:val="baseline"/>
        <w:rPr>
          <w:sz w:val="28"/>
          <w:szCs w:val="28"/>
        </w:rPr>
      </w:pPr>
    </w:p>
    <w:p w14:paraId="2C7FF8DA">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433" w:name="bookmark31"/>
      <w:bookmarkEnd w:id="433"/>
      <w:bookmarkStart w:id="434" w:name="_Toc3332"/>
      <w:bookmarkStart w:id="435" w:name="_Toc13469"/>
      <w:bookmarkStart w:id="436" w:name="_Toc12542"/>
      <w:bookmarkStart w:id="437" w:name="_Toc20034"/>
      <w:bookmarkStart w:id="438" w:name="_Toc9469"/>
      <w:bookmarkStart w:id="439" w:name="_Toc12126"/>
      <w:bookmarkStart w:id="440" w:name="_Toc16630"/>
      <w:bookmarkStart w:id="441" w:name="_Toc32686"/>
      <w:bookmarkStart w:id="442" w:name="_Toc32338"/>
      <w:bookmarkStart w:id="443" w:name="_Toc32619"/>
      <w:r>
        <w:rPr>
          <w:rFonts w:hint="eastAsia" w:ascii="楷体_GB2312" w:hAnsi="楷体_GB2312" w:eastAsia="楷体_GB2312" w:cs="楷体_GB2312"/>
          <w:b/>
          <w:bCs/>
          <w:spacing w:val="5"/>
          <w:sz w:val="28"/>
          <w:szCs w:val="28"/>
          <w:lang w:val="en-US" w:eastAsia="zh-CN"/>
        </w:rPr>
        <w:t>2.6领导班子</w:t>
      </w:r>
      <w:bookmarkEnd w:id="434"/>
      <w:bookmarkEnd w:id="435"/>
      <w:bookmarkEnd w:id="436"/>
      <w:bookmarkEnd w:id="437"/>
      <w:bookmarkEnd w:id="438"/>
      <w:bookmarkEnd w:id="439"/>
      <w:bookmarkEnd w:id="440"/>
      <w:bookmarkEnd w:id="441"/>
      <w:bookmarkEnd w:id="442"/>
      <w:bookmarkEnd w:id="443"/>
    </w:p>
    <w:p w14:paraId="47E6872C">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8" w:firstLineChars="200"/>
        <w:textAlignment w:val="baseline"/>
        <w:outlineLvl w:val="1"/>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学校实施校长负责制。其领导班子成员均具备较高思想政治素养与较强管理能力，且深谙职业教育发展规律。校长需拥有超五年教育教学工作经历，校长及教学副校长</w:t>
      </w:r>
      <w:r>
        <w:rPr>
          <w:rFonts w:hint="eastAsia" w:ascii="仿宋_GB2312" w:hAnsi="仿宋_GB2312" w:eastAsia="仿宋_GB2312" w:cs="仿宋_GB2312"/>
          <w:spacing w:val="7"/>
          <w:sz w:val="28"/>
          <w:szCs w:val="28"/>
          <w:lang w:val="en-US" w:eastAsia="zh-CN"/>
        </w:rPr>
        <w:t>均为</w:t>
      </w:r>
      <w:r>
        <w:rPr>
          <w:rFonts w:hint="eastAsia" w:ascii="仿宋_GB2312" w:hAnsi="仿宋_GB2312" w:eastAsia="仿宋_GB2312" w:cs="仿宋_GB2312"/>
          <w:spacing w:val="7"/>
          <w:sz w:val="28"/>
          <w:szCs w:val="28"/>
        </w:rPr>
        <w:t>本科及以上学历并具高级专业技术职称，其他校级领导亦</w:t>
      </w:r>
      <w:r>
        <w:rPr>
          <w:rFonts w:hint="eastAsia" w:ascii="仿宋_GB2312" w:hAnsi="仿宋_GB2312" w:eastAsia="仿宋_GB2312" w:cs="仿宋_GB2312"/>
          <w:spacing w:val="7"/>
          <w:sz w:val="28"/>
          <w:szCs w:val="28"/>
          <w:lang w:val="en-US" w:eastAsia="zh-CN"/>
        </w:rPr>
        <w:t>都是</w:t>
      </w:r>
      <w:r>
        <w:rPr>
          <w:rFonts w:hint="eastAsia" w:ascii="仿宋_GB2312" w:hAnsi="仿宋_GB2312" w:eastAsia="仿宋_GB2312" w:cs="仿宋_GB2312"/>
          <w:spacing w:val="7"/>
          <w:sz w:val="28"/>
          <w:szCs w:val="28"/>
        </w:rPr>
        <w:t>本科以上学历与中级及以上专业技术职务。</w:t>
      </w:r>
    </w:p>
    <w:p w14:paraId="396F39FA">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444" w:name="bookmark33"/>
      <w:bookmarkEnd w:id="444"/>
      <w:bookmarkStart w:id="445" w:name="_Toc2789"/>
      <w:bookmarkStart w:id="446" w:name="_Toc11129"/>
      <w:bookmarkStart w:id="447" w:name="_Toc26342"/>
      <w:bookmarkStart w:id="448" w:name="_Toc26796"/>
      <w:bookmarkStart w:id="449" w:name="_Toc11219"/>
      <w:bookmarkStart w:id="450" w:name="_Toc29742"/>
      <w:bookmarkStart w:id="451" w:name="_Toc20988"/>
      <w:bookmarkStart w:id="452" w:name="_Toc15028"/>
      <w:bookmarkStart w:id="453" w:name="_Toc24479"/>
      <w:bookmarkStart w:id="454" w:name="_Toc18610"/>
      <w:r>
        <w:rPr>
          <w:rFonts w:hint="eastAsia" w:ascii="楷体_GB2312" w:hAnsi="楷体_GB2312" w:eastAsia="楷体_GB2312" w:cs="楷体_GB2312"/>
          <w:b/>
          <w:bCs/>
          <w:spacing w:val="5"/>
          <w:sz w:val="28"/>
          <w:szCs w:val="28"/>
          <w:lang w:val="en-US" w:eastAsia="zh-CN"/>
        </w:rPr>
        <w:t>2.7学校管理</w:t>
      </w:r>
      <w:bookmarkEnd w:id="445"/>
      <w:bookmarkEnd w:id="446"/>
      <w:bookmarkEnd w:id="447"/>
      <w:bookmarkEnd w:id="448"/>
      <w:bookmarkEnd w:id="449"/>
      <w:bookmarkEnd w:id="450"/>
      <w:bookmarkEnd w:id="451"/>
      <w:bookmarkEnd w:id="452"/>
      <w:bookmarkEnd w:id="453"/>
      <w:bookmarkEnd w:id="454"/>
    </w:p>
    <w:p w14:paraId="52AF26C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sectPr>
          <w:footerReference r:id="rId9" w:type="default"/>
          <w:pgSz w:w="11906" w:h="16839"/>
          <w:pgMar w:top="1431" w:right="1527" w:bottom="1154" w:left="1785" w:header="0" w:footer="978" w:gutter="0"/>
          <w:pgNumType w:fmt="decimal"/>
          <w:cols w:space="720" w:num="1"/>
        </w:sectPr>
      </w:pPr>
      <w:r>
        <w:rPr>
          <w:rFonts w:hint="eastAsia" w:ascii="仿宋_GB2312" w:hAnsi="仿宋_GB2312" w:eastAsia="仿宋_GB2312" w:cs="仿宋_GB2312"/>
          <w:spacing w:val="7"/>
          <w:sz w:val="28"/>
          <w:szCs w:val="28"/>
        </w:rPr>
        <w:t>学校推行军事化管理模式，严格依据学校《章程》展开工作。在教学管理、学生管理、实习管理、教职工管理、财务与资产管理以及后勤管理等方面，制度完备，措施得力，办学行为严谨规范，完全符合相关标准要求</w:t>
      </w:r>
      <w:r>
        <w:rPr>
          <w:rFonts w:hint="eastAsia" w:ascii="仿宋_GB2312" w:hAnsi="仿宋_GB2312" w:eastAsia="仿宋_GB2312" w:cs="仿宋_GB2312"/>
          <w:spacing w:val="7"/>
          <w:sz w:val="28"/>
          <w:szCs w:val="28"/>
          <w:lang w:eastAsia="zh-CN"/>
        </w:rPr>
        <w:t>。</w:t>
      </w:r>
    </w:p>
    <w:p w14:paraId="184450C9">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right="0"/>
        <w:textAlignment w:val="baseline"/>
        <w:outlineLvl w:val="0"/>
        <w:rPr>
          <w:rFonts w:hint="eastAsia" w:ascii="黑体" w:hAnsi="黑体" w:eastAsia="黑体" w:cs="黑体"/>
          <w:b/>
          <w:bCs/>
          <w:spacing w:val="4"/>
          <w:sz w:val="32"/>
          <w:szCs w:val="32"/>
          <w:lang w:val="en-US" w:eastAsia="zh-CN"/>
        </w:rPr>
      </w:pPr>
      <w:bookmarkStart w:id="455" w:name="bookmark35"/>
      <w:bookmarkEnd w:id="455"/>
      <w:bookmarkStart w:id="456" w:name="_Toc3665"/>
      <w:bookmarkStart w:id="457" w:name="_Toc9933"/>
      <w:bookmarkStart w:id="458" w:name="_Toc13046"/>
      <w:bookmarkStart w:id="459" w:name="_Toc3990"/>
      <w:bookmarkStart w:id="460" w:name="_Toc27069"/>
      <w:bookmarkStart w:id="461" w:name="_Toc32683"/>
      <w:bookmarkStart w:id="462" w:name="_Toc10543"/>
      <w:bookmarkStart w:id="463" w:name="_Toc13167"/>
      <w:bookmarkStart w:id="464" w:name="_Toc19296"/>
      <w:bookmarkStart w:id="465" w:name="_Toc13457"/>
      <w:r>
        <w:rPr>
          <w:rFonts w:hint="eastAsia" w:ascii="黑体" w:hAnsi="黑体" w:eastAsia="黑体" w:cs="黑体"/>
          <w:b/>
          <w:bCs/>
          <w:spacing w:val="4"/>
          <w:sz w:val="32"/>
          <w:szCs w:val="32"/>
          <w:lang w:val="en-US" w:eastAsia="zh-CN"/>
        </w:rPr>
        <w:t>3服务贡献</w:t>
      </w:r>
      <w:bookmarkEnd w:id="456"/>
      <w:bookmarkEnd w:id="457"/>
      <w:bookmarkEnd w:id="458"/>
      <w:bookmarkEnd w:id="459"/>
      <w:bookmarkEnd w:id="460"/>
      <w:bookmarkEnd w:id="461"/>
      <w:bookmarkEnd w:id="462"/>
      <w:bookmarkEnd w:id="463"/>
      <w:bookmarkEnd w:id="464"/>
      <w:bookmarkEnd w:id="465"/>
    </w:p>
    <w:p w14:paraId="0B64143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lang w:eastAsia="zh-CN"/>
        </w:rPr>
        <w:t>学校</w:t>
      </w:r>
      <w:r>
        <w:rPr>
          <w:rFonts w:hint="eastAsia" w:ascii="仿宋_GB2312" w:hAnsi="仿宋_GB2312" w:eastAsia="仿宋_GB2312" w:cs="仿宋_GB2312"/>
          <w:spacing w:val="7"/>
          <w:sz w:val="28"/>
          <w:szCs w:val="28"/>
        </w:rPr>
        <w:t>在社会服务方面具有重要贡献，为社会提供了大量实用型高技能人才，为经济社会发展做出了积极贡献。</w:t>
      </w:r>
    </w:p>
    <w:p w14:paraId="2A493AD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466" w:name="bookmark53"/>
      <w:bookmarkEnd w:id="466"/>
      <w:bookmarkStart w:id="467" w:name="_Toc27443"/>
      <w:r>
        <w:rPr>
          <w:rFonts w:hint="eastAsia" w:ascii="仿宋_GB2312" w:hAnsi="仿宋_GB2312" w:eastAsia="仿宋_GB2312" w:cs="仿宋_GB2312"/>
          <w:spacing w:val="7"/>
          <w:sz w:val="28"/>
          <w:szCs w:val="28"/>
        </w:rPr>
        <w:t>在推动产业发展层面，学校精准对接产业需求，精心设置专业课程体系，为产业持续输送大量适配的专业人才。并且，借助与企业深度合作开展订单式培养、构建校企合作长效机制等多元模式，充分满足企业对特殊技能人才的个性化需求，进而驱动产业转型升级与创新发展。</w:t>
      </w:r>
      <w:bookmarkEnd w:id="467"/>
    </w:p>
    <w:p w14:paraId="17AC7C2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468" w:name="_Toc2832"/>
      <w:r>
        <w:rPr>
          <w:rFonts w:hint="eastAsia" w:ascii="仿宋_GB2312" w:hAnsi="仿宋_GB2312" w:eastAsia="仿宋_GB2312" w:cs="仿宋_GB2312"/>
          <w:spacing w:val="7"/>
          <w:sz w:val="28"/>
          <w:szCs w:val="28"/>
        </w:rPr>
        <w:t>于促进就业创业方面，学校毕业生保持较高就业率，有效缓解社会就业重压。同时，积极开展创业教育与培训工作，助力学生系统掌握创业知识与技能，为其开启创业征程筑牢根基、提供有力支撑。</w:t>
      </w:r>
      <w:bookmarkEnd w:id="468"/>
    </w:p>
    <w:p w14:paraId="0384DBC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469" w:name="_Toc30269"/>
      <w:r>
        <w:rPr>
          <w:rFonts w:hint="eastAsia" w:ascii="仿宋_GB2312" w:hAnsi="仿宋_GB2312" w:eastAsia="仿宋_GB2312" w:cs="仿宋_GB2312"/>
          <w:spacing w:val="7"/>
          <w:sz w:val="28"/>
          <w:szCs w:val="28"/>
        </w:rPr>
        <w:t>在推动社会进步进程中，学校高度重视教育教学里德育与人文素养培育工作，通过组织各类丰富活动与社会实践项目，引导学生树立正确价值观念与人生追求，积极促进社会文明程度提升与和谐发展。</w:t>
      </w:r>
      <w:bookmarkEnd w:id="469"/>
    </w:p>
    <w:p w14:paraId="331F51D8">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470" w:name="_Toc32754"/>
      <w:bookmarkStart w:id="471" w:name="_Toc15218"/>
      <w:bookmarkStart w:id="472" w:name="_Toc24938"/>
      <w:bookmarkStart w:id="473" w:name="_Toc32518"/>
      <w:bookmarkStart w:id="474" w:name="_Toc22619"/>
      <w:bookmarkStart w:id="475" w:name="_Toc4442"/>
      <w:bookmarkStart w:id="476" w:name="_Toc7526"/>
      <w:bookmarkStart w:id="477" w:name="_Toc2463"/>
      <w:bookmarkStart w:id="478" w:name="_Toc18673"/>
      <w:bookmarkStart w:id="479" w:name="_Toc30183"/>
      <w:r>
        <w:rPr>
          <w:rFonts w:hint="eastAsia" w:ascii="楷体_GB2312" w:hAnsi="楷体_GB2312" w:eastAsia="楷体_GB2312" w:cs="楷体_GB2312"/>
          <w:b/>
          <w:bCs/>
          <w:spacing w:val="5"/>
          <w:sz w:val="28"/>
          <w:szCs w:val="28"/>
          <w:lang w:val="en-US" w:eastAsia="zh-CN"/>
        </w:rPr>
        <w:t>3.1就业质量</w:t>
      </w:r>
      <w:bookmarkEnd w:id="470"/>
      <w:bookmarkEnd w:id="471"/>
      <w:bookmarkEnd w:id="472"/>
      <w:bookmarkEnd w:id="473"/>
      <w:bookmarkEnd w:id="474"/>
      <w:bookmarkEnd w:id="475"/>
      <w:bookmarkEnd w:id="476"/>
      <w:bookmarkEnd w:id="477"/>
      <w:bookmarkEnd w:id="478"/>
      <w:bookmarkEnd w:id="479"/>
    </w:p>
    <w:p w14:paraId="28E0EB7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2023届毕业生总人数4914人，其中升学2393人，就业2521人</w:t>
      </w:r>
      <w:r>
        <w:rPr>
          <w:rFonts w:hint="eastAsia" w:ascii="仿宋_GB2312" w:hAnsi="仿宋_GB2312" w:eastAsia="仿宋_GB2312" w:cs="仿宋_GB2312"/>
          <w:spacing w:val="7"/>
          <w:sz w:val="28"/>
          <w:szCs w:val="28"/>
          <w:lang w:eastAsia="zh-CN"/>
        </w:rPr>
        <w:t>；202</w:t>
      </w:r>
      <w:r>
        <w:rPr>
          <w:rFonts w:hint="eastAsia" w:ascii="仿宋_GB2312" w:hAnsi="仿宋_GB2312" w:eastAsia="仿宋_GB2312" w:cs="仿宋_GB2312"/>
          <w:spacing w:val="7"/>
          <w:sz w:val="28"/>
          <w:szCs w:val="28"/>
          <w:lang w:val="en-US" w:eastAsia="zh-CN"/>
        </w:rPr>
        <w:t>4</w:t>
      </w:r>
      <w:r>
        <w:rPr>
          <w:rFonts w:hint="eastAsia" w:ascii="仿宋_GB2312" w:hAnsi="仿宋_GB2312" w:eastAsia="仿宋_GB2312" w:cs="仿宋_GB2312"/>
          <w:spacing w:val="7"/>
          <w:sz w:val="28"/>
          <w:szCs w:val="28"/>
        </w:rPr>
        <w:t>届毕业生总人数884人，其中升学242人，就业642人</w:t>
      </w:r>
      <w:r>
        <w:rPr>
          <w:rFonts w:hint="eastAsia" w:ascii="仿宋_GB2312" w:hAnsi="仿宋_GB2312" w:eastAsia="仿宋_GB2312" w:cs="仿宋_GB2312"/>
          <w:spacing w:val="7"/>
          <w:sz w:val="28"/>
          <w:szCs w:val="28"/>
          <w:lang w:eastAsia="zh-CN"/>
        </w:rPr>
        <w:t>。</w:t>
      </w:r>
      <w:r>
        <w:rPr>
          <w:rFonts w:hint="eastAsia" w:ascii="仿宋_GB2312" w:hAnsi="仿宋_GB2312" w:eastAsia="仿宋_GB2312" w:cs="仿宋_GB2312"/>
          <w:spacing w:val="7"/>
          <w:sz w:val="28"/>
          <w:szCs w:val="28"/>
        </w:rPr>
        <w:t>202</w:t>
      </w:r>
      <w:r>
        <w:rPr>
          <w:rFonts w:hint="eastAsia" w:ascii="仿宋_GB2312" w:hAnsi="仿宋_GB2312" w:eastAsia="仿宋_GB2312" w:cs="仿宋_GB2312"/>
          <w:spacing w:val="7"/>
          <w:sz w:val="28"/>
          <w:szCs w:val="28"/>
          <w:lang w:val="en-US" w:eastAsia="zh-CN"/>
        </w:rPr>
        <w:t>5</w:t>
      </w:r>
      <w:r>
        <w:rPr>
          <w:rFonts w:hint="eastAsia" w:ascii="仿宋_GB2312" w:hAnsi="仿宋_GB2312" w:eastAsia="仿宋_GB2312" w:cs="仿宋_GB2312"/>
          <w:spacing w:val="7"/>
          <w:sz w:val="28"/>
          <w:szCs w:val="28"/>
        </w:rPr>
        <w:t>届毕业生总人数</w:t>
      </w:r>
      <w:r>
        <w:rPr>
          <w:rFonts w:hint="eastAsia" w:ascii="仿宋_GB2312" w:hAnsi="仿宋_GB2312" w:eastAsia="仿宋_GB2312" w:cs="仿宋_GB2312"/>
          <w:spacing w:val="7"/>
          <w:sz w:val="28"/>
          <w:szCs w:val="28"/>
          <w:lang w:val="en-US" w:eastAsia="zh-CN"/>
        </w:rPr>
        <w:t>802</w:t>
      </w:r>
      <w:r>
        <w:rPr>
          <w:rFonts w:hint="eastAsia" w:ascii="仿宋_GB2312" w:hAnsi="仿宋_GB2312" w:eastAsia="仿宋_GB2312" w:cs="仿宋_GB2312"/>
          <w:spacing w:val="7"/>
          <w:sz w:val="28"/>
          <w:szCs w:val="28"/>
        </w:rPr>
        <w:t>人，其中升学</w:t>
      </w:r>
      <w:r>
        <w:rPr>
          <w:rFonts w:hint="eastAsia" w:ascii="仿宋_GB2312" w:hAnsi="仿宋_GB2312" w:eastAsia="仿宋_GB2312" w:cs="仿宋_GB2312"/>
          <w:spacing w:val="7"/>
          <w:sz w:val="28"/>
          <w:szCs w:val="28"/>
          <w:lang w:val="en-US" w:eastAsia="zh-CN"/>
        </w:rPr>
        <w:t>631</w:t>
      </w:r>
      <w:r>
        <w:rPr>
          <w:rFonts w:hint="eastAsia" w:ascii="仿宋_GB2312" w:hAnsi="仿宋_GB2312" w:eastAsia="仿宋_GB2312" w:cs="仿宋_GB2312"/>
          <w:spacing w:val="7"/>
          <w:sz w:val="28"/>
          <w:szCs w:val="28"/>
        </w:rPr>
        <w:t>人，就业</w:t>
      </w:r>
      <w:r>
        <w:rPr>
          <w:rFonts w:hint="eastAsia" w:ascii="仿宋_GB2312" w:hAnsi="仿宋_GB2312" w:eastAsia="仿宋_GB2312" w:cs="仿宋_GB2312"/>
          <w:spacing w:val="7"/>
          <w:sz w:val="28"/>
          <w:szCs w:val="28"/>
          <w:lang w:val="en-US" w:eastAsia="zh-CN"/>
        </w:rPr>
        <w:t>171</w:t>
      </w:r>
      <w:r>
        <w:rPr>
          <w:rFonts w:hint="eastAsia" w:ascii="仿宋_GB2312" w:hAnsi="仿宋_GB2312" w:eastAsia="仿宋_GB2312" w:cs="仿宋_GB2312"/>
          <w:spacing w:val="7"/>
          <w:sz w:val="28"/>
          <w:szCs w:val="28"/>
        </w:rPr>
        <w:t>人</w:t>
      </w:r>
      <w:r>
        <w:rPr>
          <w:rFonts w:hint="eastAsia" w:ascii="仿宋_GB2312" w:hAnsi="仿宋_GB2312" w:eastAsia="仿宋_GB2312" w:cs="仿宋_GB2312"/>
          <w:spacing w:val="7"/>
          <w:sz w:val="28"/>
          <w:szCs w:val="28"/>
          <w:lang w:eastAsia="zh-CN"/>
        </w:rPr>
        <w:t>；</w:t>
      </w:r>
      <w:r>
        <w:rPr>
          <w:rFonts w:hint="eastAsia" w:ascii="仿宋_GB2312" w:hAnsi="仿宋_GB2312" w:eastAsia="仿宋_GB2312" w:cs="仿宋_GB2312"/>
          <w:spacing w:val="7"/>
          <w:sz w:val="28"/>
          <w:szCs w:val="28"/>
        </w:rPr>
        <w:t>毕业生就业的城市遍布郑州市、北京市、上海市、武汉市、广州市、深圳市等城市。</w:t>
      </w:r>
    </w:p>
    <w:p w14:paraId="793CE3F1">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4"/>
          <w:szCs w:val="24"/>
          <w:lang w:eastAsia="zh-CN"/>
        </w:rPr>
      </w:pPr>
      <w:bookmarkStart w:id="480" w:name="_Toc24028"/>
      <w:bookmarkStart w:id="481" w:name="_Toc681"/>
      <w:bookmarkStart w:id="482" w:name="_Toc20930"/>
      <w:bookmarkStart w:id="483" w:name="_Toc23372"/>
      <w:bookmarkStart w:id="484" w:name="_Toc1954"/>
      <w:bookmarkStart w:id="485" w:name="_Toc3859"/>
      <w:r>
        <w:rPr>
          <w:rFonts w:hint="eastAsia" w:ascii="黑体" w:hAnsi="黑体" w:eastAsia="黑体" w:cs="黑体"/>
          <w:b w:val="0"/>
          <w:bCs w:val="0"/>
          <w:sz w:val="24"/>
          <w:szCs w:val="24"/>
          <w:lang w:eastAsia="zh-CN"/>
        </w:rPr>
        <w:t>表</w:t>
      </w:r>
      <w:r>
        <w:rPr>
          <w:rFonts w:hint="eastAsia" w:ascii="黑体" w:hAnsi="黑体" w:eastAsia="黑体" w:cs="黑体"/>
          <w:b w:val="0"/>
          <w:bCs w:val="0"/>
          <w:sz w:val="24"/>
          <w:szCs w:val="24"/>
          <w:lang w:val="en-US" w:eastAsia="zh-CN"/>
        </w:rPr>
        <w:t>3-1</w:t>
      </w:r>
      <w:r>
        <w:rPr>
          <w:rFonts w:hint="eastAsia" w:ascii="黑体" w:hAnsi="黑体" w:eastAsia="黑体" w:cs="黑体"/>
          <w:b w:val="0"/>
          <w:bCs w:val="0"/>
          <w:sz w:val="24"/>
          <w:szCs w:val="24"/>
          <w:lang w:eastAsia="zh-CN"/>
        </w:rPr>
        <w:t>毕业生情况一览表</w:t>
      </w:r>
      <w:bookmarkEnd w:id="480"/>
      <w:bookmarkEnd w:id="481"/>
      <w:bookmarkEnd w:id="482"/>
      <w:bookmarkEnd w:id="483"/>
      <w:bookmarkEnd w:id="484"/>
      <w:bookmarkEnd w:id="485"/>
    </w:p>
    <w:tbl>
      <w:tblPr>
        <w:tblStyle w:val="19"/>
        <w:tblW w:w="8038" w:type="dxa"/>
        <w:tblInd w:w="53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45"/>
        <w:gridCol w:w="1993"/>
        <w:gridCol w:w="1769"/>
        <w:gridCol w:w="1931"/>
      </w:tblGrid>
      <w:tr w14:paraId="03264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45" w:type="dxa"/>
            <w:vAlign w:val="center"/>
          </w:tcPr>
          <w:p w14:paraId="149F75A1">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毕业年份</w:t>
            </w:r>
          </w:p>
        </w:tc>
        <w:tc>
          <w:tcPr>
            <w:tcW w:w="1993" w:type="dxa"/>
            <w:vAlign w:val="center"/>
          </w:tcPr>
          <w:p w14:paraId="4C0CFCFE">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毕业人数</w:t>
            </w:r>
          </w:p>
        </w:tc>
        <w:tc>
          <w:tcPr>
            <w:tcW w:w="1769" w:type="dxa"/>
            <w:vAlign w:val="center"/>
          </w:tcPr>
          <w:p w14:paraId="56073DB4">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4"/>
                <w:sz w:val="21"/>
                <w:szCs w:val="21"/>
              </w:rPr>
              <w:t>就业人数</w:t>
            </w:r>
          </w:p>
        </w:tc>
        <w:tc>
          <w:tcPr>
            <w:tcW w:w="1931" w:type="dxa"/>
            <w:vAlign w:val="center"/>
          </w:tcPr>
          <w:p w14:paraId="13F1B777">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pacing w:val="3"/>
                <w:sz w:val="21"/>
                <w:szCs w:val="21"/>
              </w:rPr>
              <w:t>升学人数</w:t>
            </w:r>
          </w:p>
        </w:tc>
      </w:tr>
      <w:tr w14:paraId="35F1F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45" w:type="dxa"/>
            <w:shd w:val="clear" w:color="auto" w:fill="auto"/>
            <w:vAlign w:val="center"/>
          </w:tcPr>
          <w:p w14:paraId="1DDE14E4">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z w:val="21"/>
                <w:szCs w:val="21"/>
                <w:lang w:eastAsia="zh-CN"/>
              </w:rPr>
              <w:t>202</w:t>
            </w:r>
            <w:r>
              <w:rPr>
                <w:rFonts w:hint="eastAsia" w:ascii="仿宋_GB2312" w:hAnsi="仿宋_GB2312" w:eastAsia="仿宋_GB2312" w:cs="仿宋_GB2312"/>
                <w:sz w:val="21"/>
                <w:szCs w:val="21"/>
                <w:lang w:val="en-US" w:eastAsia="zh-CN"/>
              </w:rPr>
              <w:t>3</w:t>
            </w:r>
            <w:r>
              <w:rPr>
                <w:rFonts w:hint="eastAsia" w:ascii="仿宋_GB2312" w:hAnsi="仿宋_GB2312" w:eastAsia="仿宋_GB2312" w:cs="仿宋_GB2312"/>
                <w:sz w:val="21"/>
                <w:szCs w:val="21"/>
              </w:rPr>
              <w:t>年</w:t>
            </w:r>
          </w:p>
        </w:tc>
        <w:tc>
          <w:tcPr>
            <w:tcW w:w="1993" w:type="dxa"/>
            <w:shd w:val="clear" w:color="auto" w:fill="auto"/>
            <w:vAlign w:val="center"/>
          </w:tcPr>
          <w:p w14:paraId="1BBB6034">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sz w:val="21"/>
                <w:szCs w:val="21"/>
              </w:rPr>
              <w:t>4914</w:t>
            </w:r>
          </w:p>
        </w:tc>
        <w:tc>
          <w:tcPr>
            <w:tcW w:w="1769" w:type="dxa"/>
            <w:shd w:val="clear" w:color="auto" w:fill="auto"/>
            <w:vAlign w:val="center"/>
          </w:tcPr>
          <w:p w14:paraId="61D408ED">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pacing w:val="1"/>
                <w:sz w:val="21"/>
                <w:szCs w:val="21"/>
              </w:rPr>
              <w:t>2521</w:t>
            </w:r>
          </w:p>
        </w:tc>
        <w:tc>
          <w:tcPr>
            <w:tcW w:w="1931" w:type="dxa"/>
            <w:shd w:val="clear" w:color="auto" w:fill="auto"/>
            <w:vAlign w:val="center"/>
          </w:tcPr>
          <w:p w14:paraId="7D0186D4">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zh-CN" w:bidi="ar-SA"/>
              </w:rPr>
            </w:pPr>
            <w:r>
              <w:rPr>
                <w:rFonts w:hint="eastAsia" w:ascii="仿宋_GB2312" w:hAnsi="仿宋_GB2312" w:eastAsia="仿宋_GB2312" w:cs="仿宋_GB2312"/>
                <w:spacing w:val="1"/>
                <w:sz w:val="21"/>
                <w:szCs w:val="21"/>
              </w:rPr>
              <w:t>2393</w:t>
            </w:r>
          </w:p>
        </w:tc>
      </w:tr>
      <w:tr w14:paraId="2B707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45" w:type="dxa"/>
            <w:shd w:val="clear" w:color="auto" w:fill="auto"/>
            <w:vAlign w:val="center"/>
          </w:tcPr>
          <w:p w14:paraId="37658BD0">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z w:val="21"/>
                <w:szCs w:val="21"/>
                <w:lang w:eastAsia="zh-CN"/>
              </w:rPr>
              <w:t>202</w:t>
            </w:r>
            <w:r>
              <w:rPr>
                <w:rFonts w:hint="eastAsia" w:ascii="仿宋_GB2312" w:hAnsi="仿宋_GB2312" w:eastAsia="仿宋_GB2312" w:cs="仿宋_GB2312"/>
                <w:sz w:val="21"/>
                <w:szCs w:val="21"/>
                <w:lang w:val="en-US" w:eastAsia="zh-CN"/>
              </w:rPr>
              <w:t>4</w:t>
            </w:r>
            <w:r>
              <w:rPr>
                <w:rFonts w:hint="eastAsia" w:ascii="仿宋_GB2312" w:hAnsi="仿宋_GB2312" w:eastAsia="仿宋_GB2312" w:cs="仿宋_GB2312"/>
                <w:sz w:val="21"/>
                <w:szCs w:val="21"/>
              </w:rPr>
              <w:t>年</w:t>
            </w:r>
          </w:p>
        </w:tc>
        <w:tc>
          <w:tcPr>
            <w:tcW w:w="1993" w:type="dxa"/>
            <w:shd w:val="clear" w:color="auto" w:fill="auto"/>
            <w:vAlign w:val="center"/>
          </w:tcPr>
          <w:p w14:paraId="174B0ACB">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2"/>
                <w:sz w:val="21"/>
                <w:szCs w:val="21"/>
                <w:lang w:val="en-US" w:eastAsia="zh-CN"/>
              </w:rPr>
              <w:t>884</w:t>
            </w:r>
          </w:p>
        </w:tc>
        <w:tc>
          <w:tcPr>
            <w:tcW w:w="1769" w:type="dxa"/>
            <w:shd w:val="clear" w:color="auto" w:fill="auto"/>
            <w:vAlign w:val="center"/>
          </w:tcPr>
          <w:p w14:paraId="1738007C">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1"/>
                <w:sz w:val="21"/>
                <w:szCs w:val="21"/>
                <w:lang w:val="en-US" w:eastAsia="zh-CN"/>
              </w:rPr>
              <w:t>642</w:t>
            </w:r>
          </w:p>
        </w:tc>
        <w:tc>
          <w:tcPr>
            <w:tcW w:w="1931" w:type="dxa"/>
            <w:shd w:val="clear" w:color="auto" w:fill="auto"/>
            <w:vAlign w:val="center"/>
          </w:tcPr>
          <w:p w14:paraId="425F43A9">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rightChars="0" w:firstLine="0" w:firstLineChars="0"/>
              <w:jc w:val="center"/>
              <w:textAlignment w:val="baseline"/>
              <w:rPr>
                <w:rFonts w:hint="eastAsia" w:ascii="仿宋_GB2312" w:hAnsi="仿宋_GB2312" w:eastAsia="仿宋_GB2312" w:cs="仿宋_GB2312"/>
                <w:snapToGrid w:val="0"/>
                <w:color w:val="000000"/>
                <w:kern w:val="0"/>
                <w:sz w:val="21"/>
                <w:szCs w:val="21"/>
                <w:lang w:val="en-US" w:eastAsia="en-US" w:bidi="ar-SA"/>
              </w:rPr>
            </w:pPr>
            <w:r>
              <w:rPr>
                <w:rFonts w:hint="eastAsia" w:ascii="仿宋_GB2312" w:hAnsi="仿宋_GB2312" w:eastAsia="仿宋_GB2312" w:cs="仿宋_GB2312"/>
                <w:spacing w:val="1"/>
                <w:sz w:val="21"/>
                <w:szCs w:val="21"/>
                <w:lang w:val="en-US" w:eastAsia="zh-CN"/>
              </w:rPr>
              <w:t>242</w:t>
            </w:r>
          </w:p>
        </w:tc>
      </w:tr>
      <w:tr w14:paraId="433CB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345" w:type="dxa"/>
            <w:vAlign w:val="center"/>
          </w:tcPr>
          <w:p w14:paraId="7F96BF1D">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eastAsia="zh-CN"/>
              </w:rPr>
              <w:t>2025</w:t>
            </w:r>
            <w:r>
              <w:rPr>
                <w:rFonts w:hint="eastAsia" w:ascii="仿宋_GB2312" w:hAnsi="仿宋_GB2312" w:eastAsia="仿宋_GB2312" w:cs="仿宋_GB2312"/>
                <w:sz w:val="21"/>
                <w:szCs w:val="21"/>
              </w:rPr>
              <w:t>年</w:t>
            </w:r>
          </w:p>
        </w:tc>
        <w:tc>
          <w:tcPr>
            <w:tcW w:w="1993" w:type="dxa"/>
            <w:vAlign w:val="center"/>
          </w:tcPr>
          <w:p w14:paraId="0484263B">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pacing w:val="2"/>
                <w:sz w:val="21"/>
                <w:szCs w:val="21"/>
                <w:lang w:val="en-US" w:eastAsia="zh-CN"/>
              </w:rPr>
              <w:t>802</w:t>
            </w:r>
          </w:p>
        </w:tc>
        <w:tc>
          <w:tcPr>
            <w:tcW w:w="1769" w:type="dxa"/>
            <w:vAlign w:val="center"/>
          </w:tcPr>
          <w:p w14:paraId="1EED9FED">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pacing w:val="1"/>
                <w:sz w:val="21"/>
                <w:szCs w:val="21"/>
                <w:lang w:val="en-US" w:eastAsia="zh-CN"/>
              </w:rPr>
              <w:t>171</w:t>
            </w:r>
          </w:p>
        </w:tc>
        <w:tc>
          <w:tcPr>
            <w:tcW w:w="1931" w:type="dxa"/>
            <w:vAlign w:val="center"/>
          </w:tcPr>
          <w:p w14:paraId="5123DAB6">
            <w:pPr>
              <w:pStyle w:val="20"/>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0" w:firstLineChars="0"/>
              <w:jc w:val="center"/>
              <w:textAlignment w:val="baseline"/>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pacing w:val="1"/>
                <w:sz w:val="21"/>
                <w:szCs w:val="21"/>
                <w:lang w:val="en-US" w:eastAsia="zh-CN"/>
              </w:rPr>
              <w:t>631</w:t>
            </w:r>
          </w:p>
        </w:tc>
      </w:tr>
    </w:tbl>
    <w:p w14:paraId="7D238E2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45"/>
        <w:textAlignment w:val="baseline"/>
        <w:outlineLvl w:val="9"/>
        <w:rPr>
          <w:rFonts w:hint="eastAsia" w:ascii="黑体" w:hAnsi="黑体" w:eastAsia="黑体" w:cs="黑体"/>
          <w:b/>
          <w:bCs/>
          <w:spacing w:val="-6"/>
          <w:sz w:val="32"/>
          <w:szCs w:val="32"/>
        </w:rPr>
      </w:pPr>
    </w:p>
    <w:p w14:paraId="1697FE24">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486" w:name="bookmark34"/>
      <w:bookmarkEnd w:id="486"/>
      <w:bookmarkStart w:id="487" w:name="_Toc10618"/>
      <w:bookmarkStart w:id="488" w:name="_Toc25033"/>
      <w:bookmarkStart w:id="489" w:name="_Toc24674"/>
      <w:bookmarkStart w:id="490" w:name="_Toc3368"/>
      <w:bookmarkStart w:id="491" w:name="_Toc17074"/>
      <w:bookmarkStart w:id="492" w:name="_Toc32568"/>
      <w:bookmarkStart w:id="493" w:name="_Toc9132"/>
      <w:bookmarkStart w:id="494" w:name="_Toc21051"/>
      <w:bookmarkStart w:id="495" w:name="_Toc29384"/>
      <w:bookmarkStart w:id="496" w:name="_Toc28953"/>
      <w:r>
        <w:rPr>
          <w:rFonts w:hint="eastAsia" w:ascii="楷体_GB2312" w:hAnsi="楷体_GB2312" w:eastAsia="楷体_GB2312" w:cs="楷体_GB2312"/>
          <w:b/>
          <w:bCs/>
          <w:spacing w:val="5"/>
          <w:sz w:val="28"/>
          <w:szCs w:val="28"/>
          <w:lang w:val="en-US" w:eastAsia="zh-CN"/>
        </w:rPr>
        <w:t>3.2服务区域经济发展</w:t>
      </w:r>
      <w:bookmarkEnd w:id="487"/>
      <w:bookmarkEnd w:id="488"/>
      <w:bookmarkEnd w:id="489"/>
      <w:bookmarkEnd w:id="490"/>
      <w:bookmarkEnd w:id="491"/>
      <w:bookmarkEnd w:id="492"/>
      <w:bookmarkEnd w:id="493"/>
      <w:bookmarkEnd w:id="494"/>
      <w:bookmarkEnd w:id="495"/>
      <w:bookmarkEnd w:id="496"/>
    </w:p>
    <w:p w14:paraId="29B9AE7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学校紧密契合产业转型升级态势，精准对接地方经济产业走向，积极探索创新人才培养路径，聚力打造高水平专业体系。秉持深度产教融合、紧密校企合作理念，把行业企业对技能人才的诉求全面融入人才培育全程，为河南省区域经济腾飞及交通运输事业稳健前行输送强劲人才动力与智力源泉。</w:t>
      </w:r>
    </w:p>
    <w:p w14:paraId="248CF5B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rPr>
        <w:t>学校应届毕业生超</w:t>
      </w:r>
      <w:r>
        <w:rPr>
          <w:rFonts w:hint="eastAsia" w:ascii="仿宋_GB2312" w:hAnsi="仿宋_GB2312" w:eastAsia="仿宋_GB2312" w:cs="仿宋_GB2312"/>
          <w:spacing w:val="7"/>
          <w:sz w:val="28"/>
          <w:szCs w:val="28"/>
          <w:lang w:val="en-US" w:eastAsia="zh-CN"/>
        </w:rPr>
        <w:t>四</w:t>
      </w:r>
      <w:r>
        <w:rPr>
          <w:rFonts w:hint="eastAsia" w:ascii="仿宋_GB2312" w:hAnsi="仿宋_GB2312" w:eastAsia="仿宋_GB2312" w:cs="仿宋_GB2312"/>
          <w:spacing w:val="7"/>
          <w:sz w:val="28"/>
          <w:szCs w:val="28"/>
        </w:rPr>
        <w:t>成选择留在本省就业。聚焦就业版图，他们广泛扎根于</w:t>
      </w:r>
      <w:r>
        <w:rPr>
          <w:rFonts w:hint="eastAsia" w:ascii="仿宋_GB2312" w:hAnsi="仿宋_GB2312" w:eastAsia="仿宋_GB2312" w:cs="仿宋_GB2312"/>
          <w:spacing w:val="7"/>
          <w:sz w:val="28"/>
          <w:szCs w:val="28"/>
          <w:lang w:val="en-US" w:eastAsia="zh-CN"/>
        </w:rPr>
        <w:t>网络科技、运动训练、</w:t>
      </w:r>
      <w:r>
        <w:rPr>
          <w:rFonts w:hint="eastAsia" w:ascii="仿宋_GB2312" w:hAnsi="仿宋_GB2312" w:eastAsia="仿宋_GB2312" w:cs="仿宋_GB2312"/>
          <w:spacing w:val="7"/>
          <w:sz w:val="28"/>
          <w:szCs w:val="28"/>
        </w:rPr>
        <w:t>建筑业、零售、住宿餐饮等多元领域，尤其是在</w:t>
      </w:r>
      <w:r>
        <w:rPr>
          <w:rFonts w:hint="eastAsia" w:ascii="仿宋_GB2312" w:hAnsi="仿宋_GB2312" w:eastAsia="仿宋_GB2312" w:cs="仿宋_GB2312"/>
          <w:spacing w:val="7"/>
          <w:sz w:val="28"/>
          <w:szCs w:val="28"/>
          <w:lang w:val="en-US" w:eastAsia="zh-CN"/>
        </w:rPr>
        <w:t>运动训练</w:t>
      </w:r>
      <w:r>
        <w:rPr>
          <w:rFonts w:hint="eastAsia" w:ascii="仿宋_GB2312" w:hAnsi="仿宋_GB2312" w:eastAsia="仿宋_GB2312" w:cs="仿宋_GB2312"/>
          <w:spacing w:val="7"/>
          <w:sz w:val="28"/>
          <w:szCs w:val="28"/>
        </w:rPr>
        <w:t>表现突出，有力助推河南相关产业蓬勃发展，成为支撑地方经济建设的生力军，以青春才华与专业技能书写在豫就业创业的华彩篇章，为家乡发展注入源源不断的活力与希望。</w:t>
      </w:r>
    </w:p>
    <w:p w14:paraId="0AB43819">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497" w:name="bookmark36"/>
      <w:bookmarkEnd w:id="497"/>
      <w:bookmarkStart w:id="498" w:name="_Toc5334"/>
      <w:bookmarkStart w:id="499" w:name="_Toc2323"/>
      <w:bookmarkStart w:id="500" w:name="_Toc32759"/>
      <w:bookmarkStart w:id="501" w:name="_Toc6578"/>
      <w:bookmarkStart w:id="502" w:name="_Toc3207"/>
      <w:bookmarkStart w:id="503" w:name="_Toc7566"/>
      <w:bookmarkStart w:id="504" w:name="_Toc21160"/>
      <w:bookmarkStart w:id="505" w:name="_Toc8259"/>
      <w:bookmarkStart w:id="506" w:name="_Toc29325"/>
      <w:bookmarkStart w:id="507" w:name="_Toc28184"/>
      <w:r>
        <w:rPr>
          <w:rFonts w:hint="eastAsia" w:ascii="楷体_GB2312" w:hAnsi="楷体_GB2312" w:eastAsia="楷体_GB2312" w:cs="楷体_GB2312"/>
          <w:b/>
          <w:bCs/>
          <w:spacing w:val="5"/>
          <w:sz w:val="28"/>
          <w:szCs w:val="28"/>
          <w:lang w:val="en-US" w:eastAsia="zh-CN"/>
        </w:rPr>
        <w:t>3.3服务乡村振兴</w:t>
      </w:r>
      <w:bookmarkEnd w:id="498"/>
      <w:bookmarkEnd w:id="499"/>
      <w:bookmarkEnd w:id="500"/>
      <w:bookmarkEnd w:id="501"/>
      <w:bookmarkEnd w:id="502"/>
      <w:bookmarkEnd w:id="503"/>
      <w:bookmarkEnd w:id="504"/>
      <w:bookmarkEnd w:id="505"/>
      <w:bookmarkEnd w:id="506"/>
      <w:bookmarkEnd w:id="507"/>
    </w:p>
    <w:p w14:paraId="52DC2BD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hint="eastAsia" w:ascii="楷体_GB2312" w:hAnsi="楷体_GB2312" w:eastAsia="楷体_GB2312" w:cs="楷体_GB2312"/>
          <w:b/>
          <w:bCs/>
          <w:spacing w:val="3"/>
          <w:sz w:val="28"/>
          <w:szCs w:val="28"/>
          <w:lang w:val="en-US" w:eastAsia="zh-CN"/>
        </w:rPr>
      </w:pPr>
      <w:bookmarkStart w:id="508" w:name="_Toc26242"/>
      <w:bookmarkStart w:id="509" w:name="_Toc13873"/>
      <w:bookmarkStart w:id="510" w:name="_Toc22255"/>
      <w:bookmarkStart w:id="511" w:name="_Toc19312"/>
      <w:bookmarkStart w:id="512" w:name="_Toc29733"/>
      <w:bookmarkStart w:id="513" w:name="_Toc11238"/>
      <w:bookmarkStart w:id="514" w:name="_Toc1053"/>
      <w:bookmarkStart w:id="515" w:name="_Toc3643"/>
      <w:bookmarkStart w:id="516" w:name="_Toc21363"/>
      <w:bookmarkStart w:id="517" w:name="_Toc26606"/>
      <w:r>
        <w:rPr>
          <w:rFonts w:hint="eastAsia" w:ascii="楷体_GB2312" w:hAnsi="楷体_GB2312" w:eastAsia="楷体_GB2312" w:cs="楷体_GB2312"/>
          <w:b/>
          <w:bCs/>
          <w:spacing w:val="3"/>
          <w:sz w:val="28"/>
          <w:szCs w:val="28"/>
          <w:lang w:val="en-US" w:eastAsia="zh-CN"/>
        </w:rPr>
        <w:t>3.3.1</w:t>
      </w:r>
      <w:r>
        <w:rPr>
          <w:rFonts w:hint="eastAsia" w:ascii="楷体_GB2312" w:hAnsi="楷体_GB2312" w:eastAsia="楷体_GB2312" w:cs="楷体_GB2312"/>
          <w:b/>
          <w:bCs/>
          <w:spacing w:val="3"/>
          <w:sz w:val="28"/>
          <w:szCs w:val="28"/>
        </w:rPr>
        <w:t>农业技术科普宣传</w:t>
      </w:r>
      <w:bookmarkEnd w:id="508"/>
      <w:bookmarkEnd w:id="509"/>
      <w:bookmarkEnd w:id="510"/>
      <w:bookmarkEnd w:id="511"/>
      <w:bookmarkEnd w:id="512"/>
      <w:bookmarkEnd w:id="513"/>
      <w:bookmarkEnd w:id="514"/>
      <w:bookmarkEnd w:id="515"/>
      <w:bookmarkEnd w:id="516"/>
      <w:bookmarkEnd w:id="517"/>
    </w:p>
    <w:p w14:paraId="5BD9E7F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lang w:val="en-US" w:eastAsia="zh-CN"/>
        </w:rPr>
        <w:t>学校组织</w:t>
      </w:r>
      <w:r>
        <w:rPr>
          <w:rFonts w:hint="eastAsia" w:ascii="仿宋_GB2312" w:hAnsi="仿宋_GB2312" w:eastAsia="仿宋_GB2312" w:cs="仿宋_GB2312"/>
          <w:spacing w:val="7"/>
          <w:sz w:val="28"/>
          <w:szCs w:val="28"/>
        </w:rPr>
        <w:t>休闲农业生产与经营专业</w:t>
      </w:r>
      <w:r>
        <w:rPr>
          <w:rFonts w:hint="eastAsia" w:ascii="仿宋_GB2312" w:hAnsi="仿宋_GB2312" w:eastAsia="仿宋_GB2312" w:cs="仿宋_GB2312"/>
          <w:spacing w:val="7"/>
          <w:sz w:val="28"/>
          <w:szCs w:val="28"/>
          <w:lang w:val="en-US" w:eastAsia="zh-CN"/>
        </w:rPr>
        <w:t>老师带领学生</w:t>
      </w:r>
      <w:r>
        <w:rPr>
          <w:rFonts w:hint="eastAsia" w:ascii="仿宋_GB2312" w:hAnsi="仿宋_GB2312" w:eastAsia="仿宋_GB2312" w:cs="仿宋_GB2312"/>
          <w:spacing w:val="7"/>
          <w:sz w:val="28"/>
          <w:szCs w:val="28"/>
        </w:rPr>
        <w:t>深入乡村，举办农业技术讲座，向农民普及新型种植养殖技术、病虫害防治方法以及农业机械化操作要点等知识。通过发放自制的科普手册、现场示范，帮助农民提升农业生产效率。</w:t>
      </w:r>
    </w:p>
    <w:p w14:paraId="08CB25E5">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lang w:val="en-US"/>
        </w:rPr>
      </w:pPr>
      <w:bookmarkStart w:id="518" w:name="_Toc26193"/>
      <w:bookmarkStart w:id="519" w:name="_Toc23951"/>
      <w:bookmarkStart w:id="520" w:name="_Toc19572"/>
      <w:bookmarkStart w:id="521" w:name="_Toc28141"/>
      <w:bookmarkStart w:id="522" w:name="_Toc24169"/>
      <w:bookmarkStart w:id="523" w:name="_Toc30631"/>
      <w:bookmarkStart w:id="524" w:name="_Toc6186"/>
      <w:bookmarkStart w:id="525" w:name="_Toc14206"/>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学生深入乡村实践活动</w:t>
      </w:r>
      <w:bookmarkEnd w:id="518"/>
      <w:bookmarkEnd w:id="519"/>
      <w:bookmarkEnd w:id="520"/>
      <w:bookmarkEnd w:id="521"/>
      <w:bookmarkEnd w:id="522"/>
      <w:bookmarkEnd w:id="523"/>
      <w:bookmarkEnd w:id="524"/>
      <w:bookmarkEnd w:id="525"/>
    </w:p>
    <w:p w14:paraId="6806766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_GB2312" w:hAnsi="楷体_GB2312" w:eastAsia="楷体_GB2312" w:cs="楷体_GB2312"/>
          <w:i w:val="0"/>
          <w:iCs w:val="0"/>
          <w:caps w:val="0"/>
          <w:color w:val="1F2329"/>
          <w:spacing w:val="0"/>
          <w:sz w:val="24"/>
          <w:szCs w:val="24"/>
          <w:shd w:val="clear" w:fill="FFFFFF"/>
        </w:rPr>
      </w:pPr>
      <w:r>
        <w:rPr>
          <w:rFonts w:hint="eastAsia" w:ascii="楷体_GB2312" w:hAnsi="楷体_GB2312" w:eastAsia="楷体_GB2312" w:cs="楷体_GB2312"/>
          <w:i w:val="0"/>
          <w:iCs w:val="0"/>
          <w:caps w:val="0"/>
          <w:color w:val="1F2329"/>
          <w:spacing w:val="0"/>
          <w:sz w:val="24"/>
          <w:szCs w:val="24"/>
          <w:shd w:val="clear" w:fill="FFFFFF"/>
        </w:rPr>
        <w:t>在阳光明媚的日子里，农业生产与经营专业的老师率领着一群朝气蓬勃的学生，踏入了宁静的乡村。他们怀揣着使命，为乡村农业发展带来新的活力与希望。</w:t>
      </w:r>
    </w:p>
    <w:p w14:paraId="784106B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_GB2312" w:hAnsi="楷体_GB2312" w:eastAsia="楷体_GB2312" w:cs="楷体_GB2312"/>
          <w:i w:val="0"/>
          <w:iCs w:val="0"/>
          <w:caps w:val="0"/>
          <w:color w:val="1F2329"/>
          <w:spacing w:val="0"/>
          <w:sz w:val="24"/>
          <w:szCs w:val="24"/>
          <w:shd w:val="clear" w:fill="FFFFFF"/>
        </w:rPr>
      </w:pPr>
      <w:r>
        <w:rPr>
          <w:rFonts w:hint="eastAsia" w:ascii="楷体_GB2312" w:hAnsi="楷体_GB2312" w:eastAsia="楷体_GB2312" w:cs="楷体_GB2312"/>
          <w:i w:val="0"/>
          <w:iCs w:val="0"/>
          <w:caps w:val="0"/>
          <w:color w:val="1F2329"/>
          <w:spacing w:val="0"/>
          <w:sz w:val="24"/>
          <w:szCs w:val="24"/>
          <w:shd w:val="clear" w:fill="FFFFFF"/>
        </w:rPr>
        <w:t>师生们迅速行动，精心筹备并举办了一场场农业技术讲座。在讲座中，老师深入浅出地讲解新型种植养殖技术，详细阐述如何科学选种、合理施肥，以及创新的养殖模式与管理方法。针对病虫害防治这一难题，专业的分析与实用的应对策略让农民们听得全神贯注。同时，农业机械化操作要点的介绍，为实现农业现代化打开了一扇窗。</w:t>
      </w:r>
    </w:p>
    <w:p w14:paraId="03F3ED7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_GB2312" w:hAnsi="楷体_GB2312" w:eastAsia="楷体_GB2312" w:cs="楷体_GB2312"/>
          <w:i w:val="0"/>
          <w:iCs w:val="0"/>
          <w:caps w:val="0"/>
          <w:color w:val="1F2329"/>
          <w:spacing w:val="0"/>
          <w:sz w:val="24"/>
          <w:szCs w:val="24"/>
          <w:shd w:val="clear" w:fill="FFFFFF"/>
        </w:rPr>
      </w:pPr>
    </w:p>
    <w:p w14:paraId="39AF60E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_GB2312" w:hAnsi="楷体_GB2312" w:eastAsia="楷体_GB2312" w:cs="楷体_GB2312"/>
          <w:i w:val="0"/>
          <w:iCs w:val="0"/>
          <w:caps w:val="0"/>
          <w:color w:val="1F2329"/>
          <w:spacing w:val="0"/>
          <w:sz w:val="24"/>
          <w:szCs w:val="24"/>
          <w:shd w:val="clear" w:fill="FFFFFF"/>
        </w:rPr>
      </w:pPr>
    </w:p>
    <w:p w14:paraId="338FD58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center"/>
        <w:textAlignment w:val="baseline"/>
        <w:rPr>
          <w:rFonts w:hint="eastAsia" w:ascii="黑体" w:hAnsi="黑体" w:eastAsia="黑体" w:cs="黑体"/>
          <w:spacing w:val="7"/>
          <w:sz w:val="21"/>
          <w:szCs w:val="21"/>
        </w:rPr>
      </w:pPr>
    </w:p>
    <w:p w14:paraId="764E55C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center"/>
        <w:textAlignment w:val="baseline"/>
        <w:rPr>
          <w:rFonts w:hint="eastAsia" w:ascii="黑体" w:hAnsi="黑体" w:eastAsia="黑体" w:cs="黑体"/>
          <w:spacing w:val="7"/>
          <w:sz w:val="21"/>
          <w:szCs w:val="21"/>
        </w:rPr>
      </w:pPr>
      <w:r>
        <w:drawing>
          <wp:inline distT="0" distB="0" distL="114300" distR="114300">
            <wp:extent cx="5039995" cy="2741930"/>
            <wp:effectExtent l="0" t="0" r="8255" b="127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pic:cNvPicPr>
                      <a:picLocks noChangeAspect="1"/>
                    </pic:cNvPicPr>
                  </pic:nvPicPr>
                  <pic:blipFill>
                    <a:blip r:embed="rId20"/>
                    <a:stretch>
                      <a:fillRect/>
                    </a:stretch>
                  </pic:blipFill>
                  <pic:spPr>
                    <a:xfrm>
                      <a:off x="0" y="0"/>
                      <a:ext cx="5039995" cy="2741930"/>
                    </a:xfrm>
                    <a:prstGeom prst="rect">
                      <a:avLst/>
                    </a:prstGeom>
                    <a:noFill/>
                    <a:ln>
                      <a:noFill/>
                    </a:ln>
                  </pic:spPr>
                </pic:pic>
              </a:graphicData>
            </a:graphic>
          </wp:inline>
        </w:drawing>
      </w:r>
    </w:p>
    <w:p w14:paraId="3ADACDA7">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eastAsia="zh-CN"/>
        </w:rPr>
      </w:pPr>
      <w:bookmarkStart w:id="526" w:name="_Toc9899"/>
      <w:bookmarkStart w:id="527" w:name="_Toc4317"/>
      <w:bookmarkStart w:id="528" w:name="_Toc27860"/>
      <w:bookmarkStart w:id="529" w:name="_Toc11545"/>
      <w:bookmarkStart w:id="530" w:name="_Toc21853"/>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3-1丰收的喜悦</w:t>
      </w:r>
      <w:bookmarkEnd w:id="526"/>
      <w:bookmarkEnd w:id="527"/>
      <w:bookmarkEnd w:id="528"/>
      <w:bookmarkEnd w:id="529"/>
      <w:bookmarkEnd w:id="530"/>
    </w:p>
    <w:p w14:paraId="351AFEB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 w:hAnsi="楷体" w:eastAsia="楷体" w:cs="楷体"/>
          <w:b/>
          <w:bCs/>
          <w:spacing w:val="-1"/>
          <w:sz w:val="24"/>
          <w:szCs w:val="24"/>
        </w:rPr>
      </w:pPr>
      <w:r>
        <w:rPr>
          <w:rFonts w:hint="eastAsia" w:ascii="楷体_GB2312" w:hAnsi="楷体_GB2312" w:eastAsia="楷体_GB2312" w:cs="楷体_GB2312"/>
          <w:i w:val="0"/>
          <w:iCs w:val="0"/>
          <w:caps w:val="0"/>
          <w:color w:val="1F2329"/>
          <w:spacing w:val="0"/>
          <w:sz w:val="24"/>
          <w:szCs w:val="24"/>
          <w:shd w:val="clear" w:fill="FFFFFF"/>
        </w:rPr>
        <w:t>通过这次活动，</w:t>
      </w:r>
      <w:r>
        <w:rPr>
          <w:rFonts w:hint="eastAsia" w:ascii="楷体_GB2312" w:hAnsi="楷体_GB2312" w:eastAsia="楷体_GB2312" w:cs="楷体_GB2312"/>
          <w:i w:val="0"/>
          <w:iCs w:val="0"/>
          <w:caps w:val="0"/>
          <w:color w:val="1F2329"/>
          <w:spacing w:val="0"/>
          <w:sz w:val="24"/>
          <w:szCs w:val="24"/>
          <w:shd w:val="clear" w:fill="FFFFFF"/>
          <w:lang w:val="en-US" w:eastAsia="zh-CN"/>
        </w:rPr>
        <w:t>学生们</w:t>
      </w:r>
      <w:r>
        <w:rPr>
          <w:rFonts w:hint="eastAsia" w:ascii="楷体_GB2312" w:hAnsi="楷体_GB2312" w:eastAsia="楷体_GB2312" w:cs="楷体_GB2312"/>
          <w:i w:val="0"/>
          <w:iCs w:val="0"/>
          <w:caps w:val="0"/>
          <w:color w:val="1F2329"/>
          <w:spacing w:val="0"/>
          <w:sz w:val="24"/>
          <w:szCs w:val="24"/>
          <w:shd w:val="clear" w:fill="FFFFFF"/>
        </w:rPr>
        <w:t>对农业生产有了全新的认识与理解，他们将所学知识逐步应用于实践，有望大幅提升农业生产效率，为乡村振兴的宏伟蓝图增添了浓墨重彩的一笔，也让学生们在实践中检验了所学知识，增强了社会责任感。</w:t>
      </w:r>
    </w:p>
    <w:p w14:paraId="235F73A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both"/>
        <w:textAlignment w:val="baseline"/>
      </w:pPr>
    </w:p>
    <w:p w14:paraId="332AAD5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hint="eastAsia" w:ascii="楷体_GB2312" w:hAnsi="楷体_GB2312" w:eastAsia="楷体_GB2312" w:cs="楷体_GB2312"/>
          <w:b/>
          <w:bCs/>
          <w:spacing w:val="3"/>
          <w:sz w:val="28"/>
          <w:szCs w:val="28"/>
          <w:lang w:val="en-US" w:eastAsia="zh-CN"/>
        </w:rPr>
      </w:pPr>
      <w:bookmarkStart w:id="531" w:name="_Toc4264"/>
      <w:bookmarkStart w:id="532" w:name="_Toc16969"/>
      <w:bookmarkStart w:id="533" w:name="_Toc929"/>
      <w:bookmarkStart w:id="534" w:name="_Toc19306"/>
      <w:bookmarkStart w:id="535" w:name="_Toc26416"/>
      <w:bookmarkStart w:id="536" w:name="_Toc28315"/>
      <w:bookmarkStart w:id="537" w:name="_Toc27559"/>
      <w:bookmarkStart w:id="538" w:name="_Toc2405"/>
      <w:bookmarkStart w:id="539" w:name="_Toc5500"/>
      <w:bookmarkStart w:id="540" w:name="_Toc28856"/>
      <w:r>
        <w:rPr>
          <w:rFonts w:hint="eastAsia" w:ascii="楷体_GB2312" w:hAnsi="楷体_GB2312" w:eastAsia="楷体_GB2312" w:cs="楷体_GB2312"/>
          <w:b/>
          <w:bCs/>
          <w:spacing w:val="3"/>
          <w:sz w:val="28"/>
          <w:szCs w:val="28"/>
          <w:lang w:val="en-US" w:eastAsia="zh-CN"/>
        </w:rPr>
        <w:t>3.3.2乡村文化传承与推广</w:t>
      </w:r>
      <w:bookmarkEnd w:id="531"/>
      <w:bookmarkEnd w:id="532"/>
      <w:bookmarkEnd w:id="533"/>
      <w:bookmarkEnd w:id="534"/>
      <w:bookmarkEnd w:id="535"/>
      <w:bookmarkEnd w:id="536"/>
      <w:bookmarkEnd w:id="537"/>
      <w:bookmarkEnd w:id="538"/>
      <w:bookmarkEnd w:id="539"/>
      <w:bookmarkEnd w:id="540"/>
    </w:p>
    <w:p w14:paraId="0588895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lang w:val="en-US" w:eastAsia="zh-CN"/>
        </w:rPr>
        <w:t>工艺美术、舞蹈表演</w:t>
      </w:r>
      <w:r>
        <w:rPr>
          <w:rFonts w:hint="eastAsia" w:ascii="仿宋_GB2312" w:hAnsi="仿宋_GB2312" w:eastAsia="仿宋_GB2312" w:cs="仿宋_GB2312"/>
          <w:spacing w:val="7"/>
          <w:sz w:val="28"/>
          <w:szCs w:val="28"/>
        </w:rPr>
        <w:t>学生发挥专长，挖掘整理乡村特色传统文化，如古老的手工艺制作、地方戏曲、民俗舞蹈等。他们将这些文化元素进行创新编排，组织文化表演活动，在乡村内部及周边地区进行推广展示，同时利用新媒体平台进行传播，吸引更多人关注乡村文化，促进乡村文化旅游发展。</w:t>
      </w:r>
    </w:p>
    <w:p w14:paraId="3779E010">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rPr>
      </w:pPr>
      <w:bookmarkStart w:id="541" w:name="_Toc5045"/>
      <w:bookmarkStart w:id="542" w:name="_Toc27668"/>
      <w:bookmarkStart w:id="543" w:name="_Toc11361"/>
      <w:bookmarkStart w:id="544" w:name="_Toc14836"/>
      <w:bookmarkStart w:id="545" w:name="_Toc29122"/>
      <w:bookmarkStart w:id="546" w:name="_Toc9238"/>
      <w:bookmarkStart w:id="547" w:name="_Toc29943"/>
      <w:bookmarkStart w:id="548" w:name="_Toc21779"/>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戏曲文化</w:t>
      </w:r>
      <w:r>
        <w:rPr>
          <w:rFonts w:hint="eastAsia" w:ascii="仿宋_GB2312" w:hAnsi="仿宋_GB2312" w:eastAsia="仿宋_GB2312" w:cs="仿宋_GB2312"/>
          <w:sz w:val="24"/>
          <w:szCs w:val="24"/>
        </w:rPr>
        <w:t>进校园</w:t>
      </w:r>
      <w:bookmarkEnd w:id="541"/>
      <w:bookmarkEnd w:id="542"/>
      <w:bookmarkEnd w:id="543"/>
      <w:bookmarkEnd w:id="544"/>
      <w:bookmarkEnd w:id="545"/>
      <w:bookmarkEnd w:id="546"/>
      <w:bookmarkEnd w:id="547"/>
      <w:bookmarkEnd w:id="548"/>
    </w:p>
    <w:p w14:paraId="558D246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_GB2312" w:hAnsi="楷体_GB2312" w:eastAsia="楷体_GB2312" w:cs="楷体_GB2312"/>
          <w:i w:val="0"/>
          <w:iCs w:val="0"/>
          <w:caps w:val="0"/>
          <w:color w:val="1F2329"/>
          <w:spacing w:val="0"/>
          <w:sz w:val="24"/>
          <w:szCs w:val="24"/>
          <w:shd w:val="clear" w:fill="FFFFFF"/>
        </w:rPr>
      </w:pPr>
      <w:r>
        <w:rPr>
          <w:rFonts w:hint="eastAsia" w:ascii="楷体_GB2312" w:hAnsi="楷体_GB2312" w:eastAsia="楷体_GB2312" w:cs="楷体_GB2312"/>
          <w:i w:val="0"/>
          <w:iCs w:val="0"/>
          <w:caps w:val="0"/>
          <w:color w:val="1F2329"/>
          <w:spacing w:val="0"/>
          <w:sz w:val="24"/>
          <w:szCs w:val="24"/>
          <w:shd w:val="clear" w:fill="FFFFFF"/>
        </w:rPr>
        <w:t>戏曲文化进校园活动开展得如火如荼，</w:t>
      </w:r>
      <w:r>
        <w:rPr>
          <w:rFonts w:hint="eastAsia" w:ascii="楷体_GB2312" w:hAnsi="楷体_GB2312" w:eastAsia="楷体_GB2312" w:cs="楷体_GB2312"/>
          <w:i w:val="0"/>
          <w:iCs w:val="0"/>
          <w:caps w:val="0"/>
          <w:color w:val="1F2329"/>
          <w:spacing w:val="0"/>
          <w:sz w:val="24"/>
          <w:szCs w:val="24"/>
          <w:shd w:val="clear" w:fill="FFFFFF"/>
          <w:lang w:val="en-US" w:eastAsia="zh-CN"/>
        </w:rPr>
        <w:t>学校</w:t>
      </w:r>
      <w:r>
        <w:rPr>
          <w:rFonts w:hint="eastAsia" w:ascii="楷体_GB2312" w:hAnsi="楷体_GB2312" w:eastAsia="楷体_GB2312" w:cs="楷体_GB2312"/>
          <w:i w:val="0"/>
          <w:iCs w:val="0"/>
          <w:caps w:val="0"/>
          <w:color w:val="1F2329"/>
          <w:spacing w:val="0"/>
          <w:sz w:val="24"/>
          <w:szCs w:val="24"/>
          <w:shd w:val="clear" w:fill="FFFFFF"/>
        </w:rPr>
        <w:t>内热爱戏曲的舞蹈表演学生们积极投入到地方戏曲传统表演的学习中。他们在专业老师的悉心指导下，刻苦研习戏曲的唱、念、做、打等基本功，深入领会地方戏曲独特的表演风格与艺术魅力。经过一段时间的学习与沉淀，学生们精心编排了一系列融合戏曲元素的舞蹈节目。这些节目既保留了舞蹈的灵动与优美，又巧妙地融入了戏曲的韵味与精髓。随后，他们走出校园，在乡村内部及周边地区进行推广展示。</w:t>
      </w:r>
    </w:p>
    <w:p w14:paraId="498D698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_GB2312" w:hAnsi="楷体_GB2312" w:eastAsia="楷体_GB2312" w:cs="楷体_GB2312"/>
          <w:i w:val="0"/>
          <w:iCs w:val="0"/>
          <w:caps w:val="0"/>
          <w:color w:val="1F2329"/>
          <w:spacing w:val="0"/>
          <w:sz w:val="24"/>
          <w:szCs w:val="24"/>
          <w:shd w:val="clear" w:fill="FFFFFF"/>
        </w:rPr>
      </w:pPr>
    </w:p>
    <w:p w14:paraId="1ECE384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left"/>
        <w:textAlignment w:val="baseline"/>
        <w:rPr>
          <w:rFonts w:hint="eastAsia" w:ascii="楷体_GB2312" w:hAnsi="楷体_GB2312" w:eastAsia="楷体_GB2312" w:cs="楷体_GB2312"/>
          <w:b/>
          <w:bCs/>
          <w:spacing w:val="-1"/>
          <w:sz w:val="24"/>
          <w:szCs w:val="24"/>
        </w:rPr>
      </w:pPr>
      <w:r>
        <w:rPr>
          <w:rFonts w:hint="eastAsia" w:ascii="楷体_GB2312" w:hAnsi="楷体_GB2312" w:eastAsia="楷体_GB2312" w:cs="楷体_GB2312"/>
          <w:i w:val="0"/>
          <w:iCs w:val="0"/>
          <w:caps w:val="0"/>
          <w:color w:val="1F2329"/>
          <w:spacing w:val="0"/>
          <w:sz w:val="24"/>
          <w:szCs w:val="24"/>
          <w:shd w:val="clear" w:fill="FFFFFF"/>
        </w:rPr>
        <w:t>舞台上，学生们一招一式尽显专业，一颦一笑皆有风情，让当地村民们近距离领略到了戏曲文化与舞蹈艺术相结合的独特魅力，赢得了阵阵掌声与喝彩。同时，为了扩大影响力，学生们还利用新媒体平台进行传播。他们将表演视频上传至各大短视频平台，配以生动有趣的文字介绍与文化解读。一时间，这些视频在网络上引起了广泛关注，点赞量与转发量不断攀升，吸引了更多不同地域、不同年龄段的观众对地方戏曲文化产生兴趣，让古老的戏曲艺术在新时代焕发出新的生机与活力，为戏曲文化的传承与发展注入了青春力量。</w:t>
      </w:r>
    </w:p>
    <w:p w14:paraId="3C1F837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both"/>
        <w:textAlignment w:val="baseline"/>
      </w:pPr>
      <w:r>
        <w:drawing>
          <wp:inline distT="0" distB="0" distL="114300" distR="114300">
            <wp:extent cx="5039995" cy="3919855"/>
            <wp:effectExtent l="0" t="0" r="8255" b="444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5039995" cy="3919855"/>
                    </a:xfrm>
                    <a:prstGeom prst="rect">
                      <a:avLst/>
                    </a:prstGeom>
                    <a:noFill/>
                    <a:ln>
                      <a:noFill/>
                    </a:ln>
                  </pic:spPr>
                </pic:pic>
              </a:graphicData>
            </a:graphic>
          </wp:inline>
        </w:drawing>
      </w:r>
    </w:p>
    <w:p w14:paraId="1DD9EEE4">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default" w:ascii="黑体" w:hAnsi="黑体" w:eastAsia="黑体" w:cs="黑体"/>
          <w:b w:val="0"/>
          <w:bCs w:val="0"/>
          <w:sz w:val="21"/>
          <w:szCs w:val="21"/>
          <w:lang w:val="en-US" w:eastAsia="zh-CN"/>
        </w:rPr>
      </w:pPr>
      <w:bookmarkStart w:id="549" w:name="_Toc14389"/>
      <w:bookmarkStart w:id="550" w:name="_Toc20656"/>
      <w:bookmarkStart w:id="551" w:name="_Toc30855"/>
      <w:bookmarkStart w:id="552" w:name="_Toc13833"/>
      <w:bookmarkStart w:id="553" w:name="_Toc23320"/>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3-2传统文化的魅力</w:t>
      </w:r>
      <w:bookmarkEnd w:id="549"/>
      <w:bookmarkEnd w:id="550"/>
      <w:bookmarkEnd w:id="551"/>
      <w:bookmarkEnd w:id="552"/>
      <w:bookmarkEnd w:id="553"/>
    </w:p>
    <w:p w14:paraId="4205FA8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hint="eastAsia" w:ascii="楷体_GB2312" w:hAnsi="楷体_GB2312" w:eastAsia="楷体_GB2312" w:cs="楷体_GB2312"/>
          <w:b/>
          <w:bCs/>
          <w:spacing w:val="3"/>
          <w:sz w:val="28"/>
          <w:szCs w:val="28"/>
          <w:lang w:val="en-US" w:eastAsia="zh-CN"/>
        </w:rPr>
      </w:pPr>
      <w:bookmarkStart w:id="554" w:name="_Toc8416"/>
      <w:bookmarkStart w:id="555" w:name="_Toc18215"/>
      <w:bookmarkStart w:id="556" w:name="_Toc26982"/>
      <w:bookmarkStart w:id="557" w:name="_Toc15382"/>
      <w:bookmarkStart w:id="558" w:name="_Toc14318"/>
      <w:bookmarkStart w:id="559" w:name="_Toc8263"/>
      <w:bookmarkStart w:id="560" w:name="_Toc18512"/>
      <w:bookmarkStart w:id="561" w:name="_Toc9307"/>
      <w:bookmarkStart w:id="562" w:name="_Toc20192"/>
      <w:bookmarkStart w:id="563" w:name="_Toc10312"/>
      <w:r>
        <w:rPr>
          <w:rFonts w:hint="eastAsia" w:ascii="楷体_GB2312" w:hAnsi="楷体_GB2312" w:eastAsia="楷体_GB2312" w:cs="楷体_GB2312"/>
          <w:b/>
          <w:bCs/>
          <w:spacing w:val="3"/>
          <w:sz w:val="28"/>
          <w:szCs w:val="28"/>
          <w:lang w:val="en-US" w:eastAsia="zh-CN"/>
        </w:rPr>
        <w:t>3.3.3电子商务专业学生助农实践</w:t>
      </w:r>
      <w:bookmarkEnd w:id="554"/>
      <w:bookmarkEnd w:id="555"/>
      <w:bookmarkEnd w:id="556"/>
      <w:bookmarkEnd w:id="557"/>
      <w:bookmarkEnd w:id="558"/>
      <w:bookmarkEnd w:id="559"/>
      <w:bookmarkEnd w:id="560"/>
      <w:bookmarkEnd w:id="561"/>
      <w:bookmarkEnd w:id="562"/>
      <w:bookmarkEnd w:id="563"/>
    </w:p>
    <w:p w14:paraId="049A2EE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学生开展电商助农行动，帮助农民开设线上农产品销售店铺，进行产品拍摄、详情页制作与店铺运营指导。学生们还策划直播带货活动，亲自上阵推销农产品，拓宽销售渠道，提升农产品知名度与销售额，助力农民增收致富。</w:t>
      </w:r>
    </w:p>
    <w:p w14:paraId="0297A10A">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1"/>
        <w:rPr>
          <w:rFonts w:hint="eastAsia" w:ascii="仿宋_GB2312" w:hAnsi="仿宋_GB2312" w:eastAsia="仿宋_GB2312" w:cs="仿宋_GB2312"/>
          <w:sz w:val="24"/>
          <w:szCs w:val="24"/>
        </w:rPr>
      </w:pPr>
      <w:bookmarkStart w:id="564" w:name="_Toc5602"/>
      <w:bookmarkStart w:id="565" w:name="_Toc19878"/>
      <w:bookmarkStart w:id="566" w:name="_Toc8327"/>
      <w:bookmarkStart w:id="567" w:name="_Toc2603"/>
      <w:bookmarkStart w:id="568" w:name="_Toc20274"/>
      <w:bookmarkStart w:id="569" w:name="_Toc1363"/>
      <w:bookmarkStart w:id="570" w:name="_Toc24243"/>
      <w:bookmarkStart w:id="571" w:name="_Toc24147"/>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电商助农：青春力量点亮乡村致富路</w:t>
      </w:r>
      <w:bookmarkEnd w:id="564"/>
      <w:bookmarkEnd w:id="565"/>
      <w:bookmarkEnd w:id="566"/>
      <w:bookmarkEnd w:id="567"/>
      <w:bookmarkEnd w:id="568"/>
      <w:bookmarkEnd w:id="569"/>
      <w:bookmarkEnd w:id="570"/>
      <w:bookmarkEnd w:id="571"/>
    </w:p>
    <w:p w14:paraId="1D227DB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both"/>
        <w:textAlignment w:val="baseline"/>
        <w:rPr>
          <w:rFonts w:hint="eastAsia" w:ascii="楷体_GB2312" w:hAnsi="楷体_GB2312" w:eastAsia="楷体_GB2312" w:cs="楷体_GB2312"/>
          <w:i w:val="0"/>
          <w:iCs w:val="0"/>
          <w:caps w:val="0"/>
          <w:color w:val="1F2329"/>
          <w:spacing w:val="0"/>
          <w:sz w:val="24"/>
          <w:szCs w:val="24"/>
          <w:shd w:val="clear" w:fill="FFFFFF"/>
        </w:rPr>
      </w:pPr>
      <w:r>
        <w:rPr>
          <w:rFonts w:hint="default" w:ascii="楷体_GB2312" w:hAnsi="楷体_GB2312" w:eastAsia="楷体_GB2312" w:cs="楷体_GB2312"/>
          <w:i w:val="0"/>
          <w:iCs w:val="0"/>
          <w:caps w:val="0"/>
          <w:color w:val="1F2329"/>
          <w:spacing w:val="0"/>
          <w:sz w:val="24"/>
          <w:szCs w:val="24"/>
          <w:shd w:val="clear" w:fill="FFFFFF"/>
          <w:lang w:val="en-US" w:eastAsia="zh-CN"/>
        </w:rPr>
        <w:t>在乡村振兴的浪潮中，</w:t>
      </w:r>
      <w:r>
        <w:rPr>
          <w:rFonts w:hint="eastAsia" w:ascii="楷体_GB2312" w:hAnsi="楷体_GB2312" w:eastAsia="楷体_GB2312" w:cs="楷体_GB2312"/>
          <w:i w:val="0"/>
          <w:iCs w:val="0"/>
          <w:caps w:val="0"/>
          <w:color w:val="1F2329"/>
          <w:spacing w:val="0"/>
          <w:sz w:val="24"/>
          <w:szCs w:val="24"/>
          <w:shd w:val="clear" w:fill="FFFFFF"/>
          <w:lang w:val="en-US" w:eastAsia="zh-CN"/>
        </w:rPr>
        <w:t>电子商务的</w:t>
      </w:r>
      <w:r>
        <w:rPr>
          <w:rFonts w:hint="default" w:ascii="楷体_GB2312" w:hAnsi="楷体_GB2312" w:eastAsia="楷体_GB2312" w:cs="楷体_GB2312"/>
          <w:i w:val="0"/>
          <w:iCs w:val="0"/>
          <w:caps w:val="0"/>
          <w:color w:val="1F2329"/>
          <w:spacing w:val="0"/>
          <w:sz w:val="24"/>
          <w:szCs w:val="24"/>
          <w:shd w:val="clear" w:fill="FFFFFF"/>
          <w:lang w:val="en-US" w:eastAsia="zh-CN"/>
        </w:rPr>
        <w:t>学生积极投身电商助农行动，为传统农业注入了新的活力。他们深入农村，与农民紧密合作，开启了一场数字化的农业变革。</w:t>
      </w:r>
    </w:p>
    <w:p w14:paraId="3C8BF41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both"/>
        <w:textAlignment w:val="baseline"/>
        <w:rPr>
          <w:rFonts w:hint="eastAsia" w:ascii="楷体_GB2312" w:hAnsi="楷体_GB2312" w:eastAsia="楷体_GB2312" w:cs="楷体_GB2312"/>
          <w:i w:val="0"/>
          <w:iCs w:val="0"/>
          <w:caps w:val="0"/>
          <w:color w:val="1F2329"/>
          <w:spacing w:val="0"/>
          <w:sz w:val="24"/>
          <w:szCs w:val="24"/>
          <w:shd w:val="clear" w:fill="FFFFFF"/>
        </w:rPr>
      </w:pPr>
      <w:r>
        <w:rPr>
          <w:rFonts w:hint="default" w:ascii="楷体_GB2312" w:hAnsi="楷体_GB2312" w:eastAsia="楷体_GB2312" w:cs="楷体_GB2312"/>
          <w:i w:val="0"/>
          <w:iCs w:val="0"/>
          <w:caps w:val="0"/>
          <w:color w:val="1F2329"/>
          <w:spacing w:val="0"/>
          <w:sz w:val="24"/>
          <w:szCs w:val="24"/>
          <w:shd w:val="clear" w:fill="FFFFFF"/>
          <w:lang w:val="en-US" w:eastAsia="zh-CN"/>
        </w:rPr>
        <w:t>学生们首先帮助农民开设线上农产品销售店铺。凭借在电子商务课程中学到的专业知识，他们精心进行产品拍摄，从不同角度展现农产品的新鲜与优质，让每一张图片都能勾起消费者的购买欲。在详情页制作方面，他们用生动且富有感染力的文字描述农产品的特色、种植过程与营养价值，赋予产品独特的故事与灵魂。同时，耐心地为农民进行店铺运营指导，从店铺装修到订单处理，事无巨细地传授技巧。</w:t>
      </w:r>
    </w:p>
    <w:p w14:paraId="6B1D2DA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center"/>
        <w:textAlignment w:val="baseline"/>
        <w:rPr>
          <w:rFonts w:hint="eastAsia" w:ascii="仿宋" w:hAnsi="仿宋" w:eastAsia="仿宋" w:cs="仿宋"/>
          <w:spacing w:val="2"/>
          <w:sz w:val="28"/>
          <w:szCs w:val="28"/>
        </w:rPr>
      </w:pPr>
      <w:r>
        <w:rPr>
          <w:rFonts w:hint="default" w:ascii="楷体_GB2312" w:hAnsi="楷体_GB2312" w:eastAsia="楷体_GB2312" w:cs="楷体_GB2312"/>
          <w:i w:val="0"/>
          <w:iCs w:val="0"/>
          <w:caps w:val="0"/>
          <w:color w:val="1F2329"/>
          <w:spacing w:val="0"/>
          <w:sz w:val="24"/>
          <w:szCs w:val="24"/>
          <w:shd w:val="clear" w:fill="FFFFFF"/>
          <w:lang w:val="en-US" w:eastAsia="zh-CN"/>
        </w:rPr>
        <w:t>不仅如此，直播带货活动更是将助农行动推向高潮。学生们摇身一变成为主播，在直播间里热情洋溢地推销农产品。他们现场试吃、展示农产品的烹饪过程，与观众互动解答疑问，凭借青春活力与真诚态度吸引了大量粉丝关注。通过这些努力，农产品的知名度大幅提升，销售渠道不断拓宽，销售额节节攀升，实实在在地助力农民增收致富，也让学生们在实践中收获了成长与价值实现的满足感。</w:t>
      </w:r>
    </w:p>
    <w:p w14:paraId="3C262A2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both"/>
        <w:textAlignment w:val="baseline"/>
        <w:rPr>
          <w:rFonts w:hint="eastAsia" w:ascii="仿宋" w:hAnsi="仿宋" w:eastAsia="仿宋" w:cs="仿宋"/>
          <w:spacing w:val="2"/>
          <w:sz w:val="28"/>
          <w:szCs w:val="28"/>
        </w:rPr>
      </w:pPr>
      <w:r>
        <w:drawing>
          <wp:inline distT="0" distB="0" distL="114300" distR="114300">
            <wp:extent cx="4016375" cy="2678430"/>
            <wp:effectExtent l="0" t="0" r="3175" b="762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22"/>
                    <a:stretch>
                      <a:fillRect/>
                    </a:stretch>
                  </pic:blipFill>
                  <pic:spPr>
                    <a:xfrm>
                      <a:off x="0" y="0"/>
                      <a:ext cx="4016375" cy="2678430"/>
                    </a:xfrm>
                    <a:prstGeom prst="rect">
                      <a:avLst/>
                    </a:prstGeom>
                    <a:noFill/>
                    <a:ln>
                      <a:noFill/>
                    </a:ln>
                  </pic:spPr>
                </pic:pic>
              </a:graphicData>
            </a:graphic>
          </wp:inline>
        </w:drawing>
      </w:r>
    </w:p>
    <w:p w14:paraId="46BDB77A">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default" w:ascii="黑体" w:hAnsi="黑体" w:eastAsia="黑体" w:cs="黑体"/>
          <w:b w:val="0"/>
          <w:bCs w:val="0"/>
          <w:sz w:val="21"/>
          <w:szCs w:val="21"/>
          <w:lang w:val="en-US" w:eastAsia="zh-CN"/>
        </w:rPr>
      </w:pPr>
      <w:bookmarkStart w:id="572" w:name="_Toc32256"/>
      <w:bookmarkStart w:id="573" w:name="_Toc26507"/>
      <w:bookmarkStart w:id="574" w:name="_Toc16676"/>
      <w:bookmarkStart w:id="575" w:name="_Toc2124"/>
      <w:bookmarkStart w:id="576" w:name="_Toc28570"/>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3-3直播间实践</w:t>
      </w:r>
      <w:bookmarkEnd w:id="572"/>
      <w:bookmarkEnd w:id="573"/>
      <w:bookmarkEnd w:id="574"/>
      <w:bookmarkEnd w:id="575"/>
      <w:bookmarkEnd w:id="576"/>
    </w:p>
    <w:p w14:paraId="0C596048">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default" w:ascii="楷体_GB2312" w:hAnsi="楷体_GB2312" w:eastAsia="楷体_GB2312" w:cs="楷体_GB2312"/>
          <w:b/>
          <w:bCs/>
          <w:spacing w:val="5"/>
          <w:sz w:val="28"/>
          <w:szCs w:val="28"/>
          <w:lang w:val="en-US" w:eastAsia="zh-CN"/>
        </w:rPr>
      </w:pPr>
      <w:bookmarkStart w:id="577" w:name="_Toc23978"/>
      <w:bookmarkStart w:id="578" w:name="_Toc31631"/>
      <w:bookmarkStart w:id="579" w:name="_Toc10169"/>
      <w:bookmarkStart w:id="580" w:name="_Toc6053"/>
      <w:bookmarkStart w:id="581" w:name="_Toc8481"/>
      <w:bookmarkStart w:id="582" w:name="_Toc25134"/>
      <w:bookmarkStart w:id="583" w:name="_Toc9905"/>
      <w:bookmarkStart w:id="584" w:name="_Toc15373"/>
      <w:bookmarkStart w:id="585" w:name="_Toc29507"/>
      <w:bookmarkStart w:id="586" w:name="_Toc1612"/>
      <w:r>
        <w:rPr>
          <w:rFonts w:hint="eastAsia" w:ascii="楷体_GB2312" w:hAnsi="楷体_GB2312" w:eastAsia="楷体_GB2312" w:cs="楷体_GB2312"/>
          <w:b/>
          <w:bCs/>
          <w:spacing w:val="5"/>
          <w:sz w:val="28"/>
          <w:szCs w:val="28"/>
          <w:lang w:val="en-US" w:eastAsia="zh-CN"/>
        </w:rPr>
        <w:t>3.4助力家庭困难</w:t>
      </w:r>
      <w:bookmarkEnd w:id="577"/>
      <w:bookmarkEnd w:id="578"/>
      <w:bookmarkEnd w:id="579"/>
      <w:bookmarkEnd w:id="580"/>
      <w:bookmarkEnd w:id="581"/>
      <w:bookmarkEnd w:id="582"/>
      <w:bookmarkEnd w:id="583"/>
      <w:bookmarkEnd w:id="584"/>
      <w:bookmarkEnd w:id="585"/>
      <w:bookmarkEnd w:id="586"/>
    </w:p>
    <w:p w14:paraId="06E2483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5" w:firstLine="599"/>
        <w:jc w:val="both"/>
        <w:textAlignment w:val="baseline"/>
        <w:rPr>
          <w:rFonts w:ascii="楷体" w:hAnsi="楷体" w:eastAsia="楷体" w:cs="楷体"/>
          <w:sz w:val="24"/>
          <w:szCs w:val="24"/>
        </w:rPr>
      </w:pPr>
      <w:r>
        <w:rPr>
          <w:rFonts w:hint="eastAsia" w:ascii="仿宋" w:hAnsi="仿宋" w:eastAsia="仿宋" w:cs="仿宋"/>
          <w:spacing w:val="2"/>
          <w:sz w:val="28"/>
          <w:szCs w:val="28"/>
          <w:lang w:eastAsia="zh-CN"/>
        </w:rPr>
        <w:t>2025</w:t>
      </w:r>
      <w:r>
        <w:rPr>
          <w:rFonts w:hint="eastAsia" w:ascii="仿宋" w:hAnsi="仿宋" w:eastAsia="仿宋" w:cs="仿宋"/>
          <w:spacing w:val="2"/>
          <w:sz w:val="28"/>
          <w:szCs w:val="28"/>
        </w:rPr>
        <w:t>年，学校求真务实做好家庭经济困难学生的精准资助帮扶工作。发放国家</w:t>
      </w:r>
      <w:r>
        <w:rPr>
          <w:rFonts w:hint="eastAsia" w:ascii="仿宋" w:hAnsi="仿宋" w:eastAsia="仿宋" w:cs="仿宋"/>
          <w:spacing w:val="2"/>
          <w:sz w:val="28"/>
          <w:szCs w:val="28"/>
          <w:lang w:val="en-US" w:eastAsia="zh-CN"/>
        </w:rPr>
        <w:t>助</w:t>
      </w:r>
      <w:r>
        <w:rPr>
          <w:rFonts w:hint="eastAsia" w:ascii="仿宋" w:hAnsi="仿宋" w:eastAsia="仿宋" w:cs="仿宋"/>
          <w:spacing w:val="2"/>
          <w:sz w:val="28"/>
          <w:szCs w:val="28"/>
        </w:rPr>
        <w:t>学金1</w:t>
      </w:r>
      <w:r>
        <w:rPr>
          <w:rFonts w:hint="eastAsia" w:ascii="仿宋" w:hAnsi="仿宋" w:eastAsia="仿宋" w:cs="仿宋"/>
          <w:spacing w:val="2"/>
          <w:sz w:val="28"/>
          <w:szCs w:val="28"/>
          <w:lang w:val="en-US" w:eastAsia="zh-CN"/>
        </w:rPr>
        <w:t>1</w:t>
      </w:r>
      <w:r>
        <w:rPr>
          <w:rFonts w:hint="eastAsia" w:ascii="仿宋" w:hAnsi="仿宋" w:eastAsia="仿宋" w:cs="仿宋"/>
          <w:spacing w:val="2"/>
          <w:sz w:val="28"/>
          <w:szCs w:val="28"/>
        </w:rPr>
        <w:t>人，共计</w:t>
      </w:r>
      <w:r>
        <w:rPr>
          <w:rFonts w:hint="eastAsia" w:ascii="仿宋" w:hAnsi="仿宋" w:eastAsia="仿宋" w:cs="仿宋"/>
          <w:spacing w:val="2"/>
          <w:sz w:val="28"/>
          <w:szCs w:val="28"/>
          <w:lang w:val="en-US" w:eastAsia="zh-CN"/>
        </w:rPr>
        <w:t>1.2</w:t>
      </w:r>
      <w:r>
        <w:rPr>
          <w:rFonts w:hint="eastAsia" w:ascii="仿宋" w:hAnsi="仿宋" w:eastAsia="仿宋" w:cs="仿宋"/>
          <w:spacing w:val="2"/>
          <w:sz w:val="28"/>
          <w:szCs w:val="28"/>
        </w:rPr>
        <w:t>万元；</w:t>
      </w:r>
      <w:r>
        <w:rPr>
          <w:rFonts w:hint="eastAsia" w:ascii="仿宋" w:hAnsi="仿宋" w:eastAsia="仿宋" w:cs="仿宋"/>
          <w:spacing w:val="2"/>
          <w:sz w:val="28"/>
          <w:szCs w:val="28"/>
          <w:lang w:val="en-US" w:eastAsia="zh-CN"/>
        </w:rPr>
        <w:t>免学费资助35人</w:t>
      </w:r>
      <w:r>
        <w:rPr>
          <w:rFonts w:hint="eastAsia" w:ascii="仿宋" w:hAnsi="仿宋" w:eastAsia="仿宋" w:cs="仿宋"/>
          <w:spacing w:val="2"/>
          <w:sz w:val="28"/>
          <w:szCs w:val="28"/>
        </w:rPr>
        <w:t>，共计</w:t>
      </w:r>
      <w:r>
        <w:rPr>
          <w:rFonts w:hint="eastAsia" w:ascii="仿宋" w:hAnsi="仿宋" w:eastAsia="仿宋" w:cs="仿宋"/>
          <w:spacing w:val="2"/>
          <w:sz w:val="28"/>
          <w:szCs w:val="28"/>
          <w:lang w:val="en-US" w:eastAsia="zh-CN"/>
        </w:rPr>
        <w:t>3.2</w:t>
      </w:r>
      <w:r>
        <w:rPr>
          <w:rFonts w:hint="eastAsia" w:ascii="仿宋" w:hAnsi="仿宋" w:eastAsia="仿宋" w:cs="仿宋"/>
          <w:spacing w:val="2"/>
          <w:sz w:val="28"/>
          <w:szCs w:val="28"/>
        </w:rPr>
        <w:t>万元；为学校</w:t>
      </w:r>
      <w:r>
        <w:rPr>
          <w:rFonts w:hint="eastAsia" w:ascii="仿宋" w:hAnsi="仿宋" w:eastAsia="仿宋" w:cs="仿宋"/>
          <w:spacing w:val="2"/>
          <w:sz w:val="28"/>
          <w:szCs w:val="28"/>
          <w:lang w:val="en-US" w:eastAsia="zh-CN"/>
        </w:rPr>
        <w:t>1200</w:t>
      </w:r>
      <w:r>
        <w:rPr>
          <w:rFonts w:hint="eastAsia" w:ascii="仿宋" w:hAnsi="仿宋" w:eastAsia="仿宋" w:cs="仿宋"/>
          <w:spacing w:val="2"/>
          <w:sz w:val="28"/>
          <w:szCs w:val="28"/>
        </w:rPr>
        <w:t>名在校生购买校方责任保险，共计</w:t>
      </w:r>
      <w:r>
        <w:rPr>
          <w:rFonts w:hint="eastAsia" w:ascii="仿宋" w:hAnsi="仿宋" w:eastAsia="仿宋" w:cs="仿宋"/>
          <w:spacing w:val="2"/>
          <w:sz w:val="28"/>
          <w:szCs w:val="28"/>
          <w:lang w:val="en-US" w:eastAsia="zh-CN"/>
        </w:rPr>
        <w:t>1.2</w:t>
      </w:r>
      <w:r>
        <w:rPr>
          <w:rFonts w:hint="eastAsia" w:ascii="仿宋" w:hAnsi="仿宋" w:eastAsia="仿宋" w:cs="仿宋"/>
          <w:spacing w:val="2"/>
          <w:sz w:val="28"/>
          <w:szCs w:val="28"/>
        </w:rPr>
        <w:t>万元；为学校</w:t>
      </w:r>
      <w:r>
        <w:rPr>
          <w:rFonts w:hint="eastAsia" w:ascii="仿宋" w:hAnsi="仿宋" w:eastAsia="仿宋" w:cs="仿宋"/>
          <w:spacing w:val="2"/>
          <w:sz w:val="28"/>
          <w:szCs w:val="28"/>
          <w:lang w:val="en-US" w:eastAsia="zh-CN"/>
        </w:rPr>
        <w:t>381</w:t>
      </w:r>
      <w:r>
        <w:rPr>
          <w:rFonts w:hint="eastAsia" w:ascii="仿宋" w:hAnsi="仿宋" w:eastAsia="仿宋" w:cs="仿宋"/>
          <w:spacing w:val="2"/>
          <w:sz w:val="28"/>
          <w:szCs w:val="28"/>
        </w:rPr>
        <w:t>名学生购买实习责任险，共计</w:t>
      </w:r>
      <w:r>
        <w:rPr>
          <w:rFonts w:hint="eastAsia" w:ascii="仿宋" w:hAnsi="仿宋" w:eastAsia="仿宋" w:cs="仿宋"/>
          <w:spacing w:val="2"/>
          <w:sz w:val="28"/>
          <w:szCs w:val="28"/>
          <w:lang w:val="en-US" w:eastAsia="zh-CN"/>
        </w:rPr>
        <w:t>2.1</w:t>
      </w:r>
      <w:r>
        <w:rPr>
          <w:rFonts w:hint="eastAsia" w:ascii="仿宋" w:hAnsi="仿宋" w:eastAsia="仿宋" w:cs="仿宋"/>
          <w:spacing w:val="2"/>
          <w:sz w:val="28"/>
          <w:szCs w:val="28"/>
        </w:rPr>
        <w:t>万元</w:t>
      </w:r>
      <w:r>
        <w:rPr>
          <w:rFonts w:hint="eastAsia" w:ascii="仿宋" w:hAnsi="仿宋" w:eastAsia="仿宋" w:cs="仿宋"/>
          <w:spacing w:val="2"/>
          <w:sz w:val="28"/>
          <w:szCs w:val="28"/>
          <w:lang w:eastAsia="zh-CN"/>
        </w:rPr>
        <w:t>。</w:t>
      </w:r>
      <w:bookmarkStart w:id="587" w:name="bookmark227"/>
      <w:bookmarkEnd w:id="587"/>
      <w:bookmarkStart w:id="588" w:name="bookmark228"/>
      <w:bookmarkEnd w:id="588"/>
    </w:p>
    <w:p w14:paraId="2AC6F301">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left="0" w:leftChars="0" w:right="0" w:firstLine="659" w:firstLineChars="200"/>
        <w:textAlignment w:val="baseline"/>
        <w:outlineLvl w:val="0"/>
        <w:rPr>
          <w:rFonts w:hint="eastAsia" w:ascii="黑体" w:hAnsi="黑体" w:eastAsia="黑体" w:cs="黑体"/>
          <w:b/>
          <w:bCs/>
          <w:spacing w:val="4"/>
          <w:sz w:val="32"/>
          <w:szCs w:val="32"/>
          <w:lang w:val="en-US" w:eastAsia="zh-CN"/>
        </w:rPr>
      </w:pPr>
      <w:bookmarkStart w:id="589" w:name="_Toc26231"/>
      <w:bookmarkStart w:id="590" w:name="_Toc16378"/>
      <w:bookmarkStart w:id="591" w:name="_Toc27494"/>
      <w:bookmarkStart w:id="592" w:name="_Toc29211"/>
      <w:bookmarkStart w:id="593" w:name="_Toc23362"/>
      <w:bookmarkStart w:id="594" w:name="_Toc23364"/>
      <w:bookmarkStart w:id="595" w:name="_Toc26887"/>
      <w:bookmarkStart w:id="596" w:name="_Toc18086"/>
      <w:bookmarkStart w:id="597" w:name="_Toc20107"/>
      <w:bookmarkStart w:id="598" w:name="_Toc5226"/>
      <w:r>
        <w:rPr>
          <w:rFonts w:hint="eastAsia" w:ascii="黑体" w:hAnsi="黑体" w:eastAsia="黑体" w:cs="黑体"/>
          <w:b/>
          <w:bCs/>
          <w:spacing w:val="4"/>
          <w:sz w:val="32"/>
          <w:szCs w:val="32"/>
          <w:lang w:val="en-US" w:eastAsia="zh-CN"/>
        </w:rPr>
        <w:t>4文化传承</w:t>
      </w:r>
      <w:bookmarkEnd w:id="589"/>
      <w:bookmarkEnd w:id="590"/>
      <w:bookmarkEnd w:id="591"/>
      <w:bookmarkEnd w:id="592"/>
      <w:bookmarkEnd w:id="593"/>
      <w:bookmarkEnd w:id="594"/>
      <w:bookmarkEnd w:id="595"/>
      <w:bookmarkEnd w:id="596"/>
      <w:bookmarkEnd w:id="597"/>
      <w:bookmarkEnd w:id="598"/>
    </w:p>
    <w:p w14:paraId="4D51A67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599" w:name="_Toc23676"/>
      <w:r>
        <w:rPr>
          <w:rFonts w:hint="eastAsia" w:ascii="仿宋_GB2312" w:hAnsi="仿宋_GB2312" w:eastAsia="仿宋_GB2312" w:cs="仿宋_GB2312"/>
          <w:spacing w:val="7"/>
          <w:sz w:val="28"/>
          <w:szCs w:val="28"/>
        </w:rPr>
        <w:t>中职学生构成了文化传承的关键力量源泉。在中职教育体系内，秉持着职业技能培育与文化传承教育并重的理念。</w:t>
      </w:r>
      <w:bookmarkEnd w:id="599"/>
    </w:p>
    <w:p w14:paraId="658032E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600" w:name="_Toc28993"/>
      <w:r>
        <w:rPr>
          <w:rFonts w:hint="eastAsia" w:ascii="仿宋_GB2312" w:hAnsi="仿宋_GB2312" w:eastAsia="仿宋_GB2312" w:cs="仿宋_GB2312"/>
          <w:spacing w:val="7"/>
          <w:sz w:val="28"/>
          <w:szCs w:val="28"/>
        </w:rPr>
        <w:t>一方面，学校借助语文、历史、艺术等多元文化课程的开设，使学生得以深入领略并扎实掌握中华优秀传统文化的精髓，有效培育其文化自信以及民族自豪感。</w:t>
      </w:r>
      <w:bookmarkEnd w:id="600"/>
    </w:p>
    <w:p w14:paraId="1AAE662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601" w:name="_Toc11769"/>
      <w:r>
        <w:rPr>
          <w:rFonts w:hint="eastAsia" w:ascii="仿宋_GB2312" w:hAnsi="仿宋_GB2312" w:eastAsia="仿宋_GB2312" w:cs="仿宋_GB2312"/>
          <w:spacing w:val="7"/>
          <w:sz w:val="28"/>
          <w:szCs w:val="28"/>
        </w:rPr>
        <w:t>另一方面，学校积极组织文艺比赛、文化节、艺术展览等丰富多样的文化活动，让学生能够亲身沉浸于中华文化的独特魅力之中，显著增强他们对文化的认同感与归属感。</w:t>
      </w:r>
      <w:bookmarkEnd w:id="601"/>
    </w:p>
    <w:p w14:paraId="695540C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602" w:name="_Toc21930"/>
      <w:r>
        <w:rPr>
          <w:rFonts w:hint="eastAsia" w:ascii="仿宋_GB2312" w:hAnsi="仿宋_GB2312" w:eastAsia="仿宋_GB2312" w:cs="仿宋_GB2312"/>
          <w:spacing w:val="7"/>
          <w:sz w:val="28"/>
          <w:szCs w:val="28"/>
        </w:rPr>
        <w:t>除此之外，学校高度重视与社区、企业携手合作，共同开展诸如非遗传承、民间艺术表演等文化传承活动，引领学生深度探究并切实传承中华优秀传统文化，为文化的绵延赓续贡献力量。</w:t>
      </w:r>
      <w:bookmarkEnd w:id="602"/>
    </w:p>
    <w:p w14:paraId="4A1EB7C8">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603" w:name="bookmark44"/>
      <w:bookmarkEnd w:id="603"/>
      <w:bookmarkStart w:id="604" w:name="_Toc13159"/>
      <w:bookmarkStart w:id="605" w:name="_Toc16202"/>
      <w:bookmarkStart w:id="606" w:name="_Toc8055"/>
      <w:bookmarkStart w:id="607" w:name="_Toc29411"/>
      <w:bookmarkStart w:id="608" w:name="_Toc2401"/>
      <w:bookmarkStart w:id="609" w:name="_Toc9601"/>
      <w:bookmarkStart w:id="610" w:name="_Toc928"/>
      <w:bookmarkStart w:id="611" w:name="_Toc5114"/>
      <w:bookmarkStart w:id="612" w:name="_Toc31795"/>
      <w:bookmarkStart w:id="613" w:name="_Toc12187"/>
      <w:r>
        <w:rPr>
          <w:rFonts w:hint="eastAsia" w:ascii="楷体_GB2312" w:hAnsi="楷体_GB2312" w:eastAsia="楷体_GB2312" w:cs="楷体_GB2312"/>
          <w:b/>
          <w:bCs/>
          <w:spacing w:val="5"/>
          <w:sz w:val="28"/>
          <w:szCs w:val="28"/>
          <w:lang w:val="en-US" w:eastAsia="zh-CN"/>
        </w:rPr>
        <w:t>4.1优秀传统文化教育</w:t>
      </w:r>
      <w:bookmarkEnd w:id="604"/>
      <w:bookmarkEnd w:id="605"/>
      <w:bookmarkEnd w:id="606"/>
      <w:bookmarkEnd w:id="607"/>
      <w:bookmarkEnd w:id="608"/>
      <w:bookmarkEnd w:id="609"/>
      <w:bookmarkEnd w:id="610"/>
      <w:bookmarkEnd w:id="611"/>
      <w:bookmarkEnd w:id="612"/>
      <w:bookmarkEnd w:id="613"/>
    </w:p>
    <w:p w14:paraId="04C02B6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z w:val="24"/>
          <w:szCs w:val="24"/>
          <w:lang w:eastAsia="zh-CN"/>
        </w:rPr>
      </w:pPr>
      <w:r>
        <w:rPr>
          <w:rFonts w:hint="eastAsia" w:ascii="仿宋_GB2312" w:hAnsi="仿宋_GB2312" w:eastAsia="仿宋_GB2312" w:cs="仿宋_GB2312"/>
          <w:spacing w:val="7"/>
          <w:sz w:val="28"/>
          <w:szCs w:val="28"/>
        </w:rPr>
        <w:t>中华优秀传统文化，乃中华民族之“根”与“魂”，亦是中华儿女文化自信的“源”与“本”。学校大力推动传统文化进校园活动，以</w:t>
      </w:r>
      <w:r>
        <w:rPr>
          <w:rFonts w:hint="eastAsia" w:ascii="仿宋_GB2312" w:hAnsi="仿宋_GB2312" w:eastAsia="仿宋_GB2312" w:cs="仿宋_GB2312"/>
          <w:spacing w:val="7"/>
          <w:sz w:val="28"/>
          <w:szCs w:val="28"/>
          <w:lang w:val="en-US" w:eastAsia="zh-CN"/>
        </w:rPr>
        <w:t>工艺美术专业</w:t>
      </w:r>
      <w:r>
        <w:rPr>
          <w:rFonts w:hint="eastAsia" w:ascii="仿宋_GB2312" w:hAnsi="仿宋_GB2312" w:eastAsia="仿宋_GB2312" w:cs="仿宋_GB2312"/>
          <w:spacing w:val="7"/>
          <w:sz w:val="28"/>
          <w:szCs w:val="28"/>
        </w:rPr>
        <w:t>为依托开展教育，助</w:t>
      </w:r>
      <w:r>
        <w:rPr>
          <w:rFonts w:hint="eastAsia" w:ascii="仿宋_GB2312" w:hAnsi="仿宋_GB2312" w:eastAsia="仿宋_GB2312" w:cs="仿宋_GB2312"/>
          <w:spacing w:val="7"/>
          <w:sz w:val="28"/>
          <w:szCs w:val="28"/>
          <w:lang w:val="en-US" w:eastAsia="zh-CN"/>
        </w:rPr>
        <w:t>全体</w:t>
      </w:r>
      <w:r>
        <w:rPr>
          <w:rFonts w:hint="eastAsia" w:ascii="仿宋_GB2312" w:hAnsi="仿宋_GB2312" w:eastAsia="仿宋_GB2312" w:cs="仿宋_GB2312"/>
          <w:spacing w:val="7"/>
          <w:sz w:val="28"/>
          <w:szCs w:val="28"/>
        </w:rPr>
        <w:t>学生领悟内涵、感受魅力，进而了解、热爱、传承并弘扬此文化，增强文化自信，推动文化自强，使传统文化在校园中焕发生机与活力，滋养学子心灵。</w:t>
      </w:r>
      <w:bookmarkStart w:id="614" w:name="bookmark230"/>
      <w:bookmarkEnd w:id="614"/>
      <w:bookmarkStart w:id="615" w:name="bookmark229"/>
      <w:bookmarkEnd w:id="615"/>
      <w:bookmarkStart w:id="616" w:name="_Toc32136"/>
      <w:bookmarkStart w:id="617" w:name="_Toc18773"/>
      <w:bookmarkStart w:id="618" w:name="_Toc19648"/>
      <w:bookmarkStart w:id="619" w:name="_Toc10465"/>
      <w:bookmarkStart w:id="620" w:name="_Toc32289"/>
    </w:p>
    <w:p w14:paraId="68AA59CA">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rPr>
      </w:pPr>
      <w:bookmarkStart w:id="621" w:name="_Toc10349"/>
      <w:bookmarkStart w:id="622" w:name="_Toc21408"/>
      <w:bookmarkStart w:id="623" w:name="_Toc21546"/>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艺韵华彩</w:t>
      </w:r>
      <w:bookmarkStart w:id="624" w:name="bookmark229"/>
      <w:bookmarkEnd w:id="624"/>
      <w:r>
        <w:rPr>
          <w:rFonts w:hint="eastAsia" w:ascii="仿宋_GB2312" w:hAnsi="仿宋_GB2312" w:eastAsia="仿宋_GB2312" w:cs="仿宋_GB2312"/>
          <w:sz w:val="24"/>
          <w:szCs w:val="24"/>
        </w:rPr>
        <w:t>——创意设计竞赛</w:t>
      </w:r>
      <w:bookmarkEnd w:id="616"/>
      <w:bookmarkEnd w:id="617"/>
      <w:bookmarkEnd w:id="618"/>
      <w:bookmarkEnd w:id="619"/>
      <w:bookmarkEnd w:id="620"/>
      <w:bookmarkEnd w:id="621"/>
      <w:bookmarkEnd w:id="622"/>
      <w:bookmarkEnd w:id="623"/>
    </w:p>
    <w:p w14:paraId="6783746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both"/>
        <w:textAlignment w:val="baseline"/>
        <w:rPr>
          <w:rFonts w:hint="default" w:ascii="KaiTi_GB2312" w:hAnsi="KaiTi_GB2312" w:eastAsia="KaiTi_GB2312" w:cs="KaiTi_GB2312"/>
          <w:spacing w:val="11"/>
          <w:sz w:val="24"/>
          <w:szCs w:val="24"/>
          <w:lang w:val="en-US" w:eastAsia="zh-CN"/>
        </w:rPr>
      </w:pPr>
      <w:r>
        <w:rPr>
          <w:rFonts w:hint="default" w:ascii="KaiTi_GB2312" w:hAnsi="KaiTi_GB2312" w:eastAsia="KaiTi_GB2312" w:cs="KaiTi_GB2312"/>
          <w:spacing w:val="11"/>
          <w:sz w:val="24"/>
          <w:szCs w:val="24"/>
          <w:lang w:val="en-US" w:eastAsia="zh-CN"/>
        </w:rPr>
        <w:t>在创意设计竞赛环节，学生们仿若置身于传统文化的浩瀚星空中，尽情采撷灵感之光。他们以在之前活动中所汲取的丰富传统文化元素为源泉，凭借扎实的工艺美术专业知识，大胆创新，匠心独运地开展创意设计之旅。无论是精美的工艺品设计，还是富有意境的装饰画创作，亦或是充满巧思的文创产品设计，都成为他们展现才华的舞台。</w:t>
      </w:r>
    </w:p>
    <w:p w14:paraId="5D06548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both"/>
        <w:textAlignment w:val="baseline"/>
        <w:rPr>
          <w:rFonts w:hint="default" w:ascii="KaiTi_GB2312" w:hAnsi="KaiTi_GB2312" w:eastAsia="KaiTi_GB2312" w:cs="KaiTi_GB2312"/>
          <w:spacing w:val="11"/>
          <w:sz w:val="24"/>
          <w:szCs w:val="24"/>
          <w:lang w:val="en-US" w:eastAsia="zh-CN"/>
        </w:rPr>
      </w:pPr>
      <w:r>
        <w:rPr>
          <w:rFonts w:hint="default" w:ascii="KaiTi_GB2312" w:hAnsi="KaiTi_GB2312" w:eastAsia="KaiTi_GB2312" w:cs="KaiTi_GB2312"/>
          <w:spacing w:val="11"/>
          <w:sz w:val="24"/>
          <w:szCs w:val="24"/>
          <w:lang w:val="en-US" w:eastAsia="zh-CN"/>
        </w:rPr>
        <w:t>竞赛期间，由校内专业教师与校外资深专家共同组成的评审团秉持着公正、专业的态度，对每一件参赛作品从创意新颖性、文化融合度、工艺精湛性等多方面进行细致评审。</w:t>
      </w:r>
    </w:p>
    <w:p w14:paraId="23F37DD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both"/>
        <w:textAlignment w:val="baseline"/>
        <w:rPr>
          <w:rFonts w:hint="default" w:ascii="KaiTi_GB2312" w:hAnsi="KaiTi_GB2312" w:eastAsia="KaiTi_GB2312" w:cs="KaiTi_GB2312"/>
          <w:spacing w:val="11"/>
          <w:sz w:val="24"/>
          <w:szCs w:val="24"/>
          <w:lang w:val="en-US" w:eastAsia="zh-CN"/>
        </w:rPr>
      </w:pPr>
      <w:r>
        <w:drawing>
          <wp:inline distT="0" distB="0" distL="114300" distR="114300">
            <wp:extent cx="5000625" cy="5505450"/>
            <wp:effectExtent l="0" t="0" r="9525" b="0"/>
            <wp:docPr id="4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pic:cNvPicPr>
                      <a:picLocks noChangeAspect="1"/>
                    </pic:cNvPicPr>
                  </pic:nvPicPr>
                  <pic:blipFill>
                    <a:blip r:embed="rId23"/>
                    <a:stretch>
                      <a:fillRect/>
                    </a:stretch>
                  </pic:blipFill>
                  <pic:spPr>
                    <a:xfrm>
                      <a:off x="0" y="0"/>
                      <a:ext cx="5000625" cy="5505450"/>
                    </a:xfrm>
                    <a:prstGeom prst="rect">
                      <a:avLst/>
                    </a:prstGeom>
                    <a:noFill/>
                    <a:ln>
                      <a:noFill/>
                    </a:ln>
                  </pic:spPr>
                </pic:pic>
              </a:graphicData>
            </a:graphic>
          </wp:inline>
        </w:drawing>
      </w:r>
    </w:p>
    <w:p w14:paraId="31EF17BB">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default" w:ascii="黑体" w:hAnsi="黑体" w:eastAsia="黑体" w:cs="黑体"/>
          <w:b w:val="0"/>
          <w:bCs w:val="0"/>
          <w:sz w:val="21"/>
          <w:szCs w:val="21"/>
          <w:lang w:val="en-US" w:eastAsia="zh-CN"/>
        </w:rPr>
      </w:pPr>
      <w:bookmarkStart w:id="625" w:name="_Toc10286"/>
      <w:bookmarkStart w:id="626" w:name="_Toc14832"/>
      <w:bookmarkStart w:id="627" w:name="_Toc29762"/>
      <w:bookmarkStart w:id="628" w:name="_Toc29543"/>
      <w:bookmarkStart w:id="629" w:name="_Toc31776"/>
      <w:r>
        <w:rPr>
          <w:rFonts w:hint="eastAsia" w:ascii="黑体" w:hAnsi="黑体" w:eastAsia="黑体" w:cs="黑体"/>
          <w:b w:val="0"/>
          <w:bCs w:val="0"/>
          <w:sz w:val="21"/>
          <w:szCs w:val="21"/>
          <w:lang w:eastAsia="zh-CN"/>
        </w:rPr>
        <w:t>图4-1学生</w:t>
      </w:r>
      <w:r>
        <w:rPr>
          <w:rFonts w:hint="eastAsia" w:ascii="黑体" w:hAnsi="黑体" w:eastAsia="黑体" w:cs="黑体"/>
          <w:b w:val="0"/>
          <w:bCs w:val="0"/>
          <w:sz w:val="21"/>
          <w:szCs w:val="21"/>
          <w:lang w:val="en-US" w:eastAsia="zh-CN"/>
        </w:rPr>
        <w:t>工艺展</w:t>
      </w:r>
      <w:bookmarkEnd w:id="625"/>
      <w:bookmarkEnd w:id="626"/>
      <w:bookmarkEnd w:id="627"/>
      <w:bookmarkEnd w:id="628"/>
      <w:bookmarkEnd w:id="629"/>
    </w:p>
    <w:p w14:paraId="1271F5C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both"/>
        <w:textAlignment w:val="baseline"/>
        <w:rPr>
          <w:rFonts w:hint="default" w:ascii="KaiTi_GB2312" w:hAnsi="KaiTi_GB2312" w:eastAsia="KaiTi_GB2312" w:cs="KaiTi_GB2312"/>
          <w:spacing w:val="11"/>
          <w:sz w:val="24"/>
          <w:szCs w:val="24"/>
          <w:lang w:val="en-US" w:eastAsia="zh-CN"/>
        </w:rPr>
      </w:pPr>
      <w:r>
        <w:rPr>
          <w:rFonts w:hint="default" w:ascii="KaiTi_GB2312" w:hAnsi="KaiTi_GB2312" w:eastAsia="KaiTi_GB2312" w:cs="KaiTi_GB2312"/>
          <w:spacing w:val="11"/>
          <w:sz w:val="24"/>
          <w:szCs w:val="24"/>
          <w:lang w:val="en-US" w:eastAsia="zh-CN"/>
        </w:rPr>
        <w:t>与此同时，热闹非凡的传统文化节也盛大开幕。传统工艺表演区中，民间艺人的剪纸如灵动的窗花在指尖绽放，糖画勾勒出甜蜜的童年记忆，面塑则栩栩如生地塑造出各种神话传说人物。互动体验区里，学生们热情地引导参观者亲手尝试简单的传统工艺制作，如编织中国结、绘制京剧脸谱等，让大家在实践中感受传统文化的独特魅力。而文化市集更是琳琅满目，各类传统工艺品与文创产品汇聚一堂，吸引着众人驻足欣赏、购买珍藏，进一步推动了传统文化的传播与交流。</w:t>
      </w:r>
    </w:p>
    <w:p w14:paraId="4135551A">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630" w:name="bookmark145"/>
      <w:bookmarkEnd w:id="630"/>
      <w:bookmarkStart w:id="631" w:name="bookmark46"/>
      <w:bookmarkEnd w:id="631"/>
      <w:bookmarkStart w:id="632" w:name="bookmark143"/>
      <w:bookmarkEnd w:id="632"/>
      <w:bookmarkStart w:id="633" w:name="bookmark144"/>
      <w:bookmarkEnd w:id="633"/>
      <w:bookmarkStart w:id="634" w:name="bookmark146"/>
      <w:bookmarkEnd w:id="634"/>
      <w:bookmarkStart w:id="635" w:name="_Toc3783"/>
      <w:bookmarkStart w:id="636" w:name="_Toc7677"/>
      <w:bookmarkStart w:id="637" w:name="_Toc29741"/>
      <w:bookmarkStart w:id="638" w:name="_Toc665"/>
      <w:bookmarkStart w:id="639" w:name="_Toc11413"/>
      <w:bookmarkStart w:id="640" w:name="_Toc10137"/>
      <w:bookmarkStart w:id="641" w:name="_Toc23615"/>
      <w:bookmarkStart w:id="642" w:name="_Toc30839"/>
      <w:bookmarkStart w:id="643" w:name="_Toc5904"/>
      <w:bookmarkStart w:id="644" w:name="_Toc29261"/>
      <w:r>
        <w:rPr>
          <w:rFonts w:hint="eastAsia" w:ascii="楷体_GB2312" w:hAnsi="楷体_GB2312" w:eastAsia="楷体_GB2312" w:cs="楷体_GB2312"/>
          <w:b/>
          <w:bCs/>
          <w:spacing w:val="5"/>
          <w:sz w:val="28"/>
          <w:szCs w:val="28"/>
          <w:lang w:val="en-US" w:eastAsia="zh-CN"/>
        </w:rPr>
        <w:t>4.2革命文化教育</w:t>
      </w:r>
      <w:bookmarkEnd w:id="635"/>
      <w:bookmarkEnd w:id="636"/>
      <w:bookmarkEnd w:id="637"/>
      <w:bookmarkEnd w:id="638"/>
      <w:bookmarkEnd w:id="639"/>
      <w:bookmarkEnd w:id="640"/>
      <w:bookmarkEnd w:id="641"/>
      <w:bookmarkEnd w:id="642"/>
      <w:bookmarkEnd w:id="643"/>
      <w:bookmarkEnd w:id="644"/>
    </w:p>
    <w:p w14:paraId="3818F84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lang w:eastAsia="zh-CN"/>
        </w:rPr>
        <w:t>2025</w:t>
      </w:r>
      <w:r>
        <w:rPr>
          <w:rFonts w:hint="eastAsia" w:ascii="仿宋_GB2312" w:hAnsi="仿宋_GB2312" w:eastAsia="仿宋_GB2312" w:cs="仿宋_GB2312"/>
          <w:spacing w:val="7"/>
          <w:sz w:val="28"/>
          <w:szCs w:val="28"/>
        </w:rPr>
        <w:t>年学校持续开展革命文化教育，深入学习贯彻习近平总书记关于主题教育的重要讲话重要指示，大力弘扬焦裕禄精神、红旗渠精神、大别山精神等，坚持深学细悟，坚持实的导向，传承红色基因，把精神财富变成前行力量。师生党员以“学”的方法、“思”的态度、“践”的决心，不负韶华，以史为鉴，书写新时代最美华章。</w:t>
      </w:r>
    </w:p>
    <w:p w14:paraId="3BC02243">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3"/>
        <w:rPr>
          <w:rFonts w:hint="eastAsia" w:ascii="仿宋_GB2312" w:hAnsi="仿宋_GB2312" w:eastAsia="仿宋_GB2312" w:cs="仿宋_GB2312"/>
          <w:sz w:val="24"/>
          <w:szCs w:val="24"/>
        </w:rPr>
      </w:pPr>
      <w:bookmarkStart w:id="645" w:name="_Toc16617"/>
      <w:bookmarkStart w:id="646" w:name="_Toc13654"/>
      <w:bookmarkStart w:id="647" w:name="_Toc30146"/>
      <w:bookmarkStart w:id="648" w:name="_Toc30636"/>
      <w:bookmarkStart w:id="649" w:name="_Toc30023"/>
      <w:bookmarkStart w:id="650" w:name="_Toc32290"/>
      <w:bookmarkStart w:id="651" w:name="_Toc29257"/>
      <w:bookmarkStart w:id="652" w:name="_Toc12091"/>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10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学校师生代表赴</w:t>
      </w:r>
      <w:r>
        <w:rPr>
          <w:rFonts w:hint="eastAsia" w:ascii="仿宋_GB2312" w:hAnsi="仿宋_GB2312" w:eastAsia="仿宋_GB2312" w:cs="仿宋_GB2312"/>
          <w:sz w:val="24"/>
          <w:szCs w:val="24"/>
          <w:lang w:val="en-US" w:eastAsia="zh-CN"/>
        </w:rPr>
        <w:t>革命</w:t>
      </w:r>
      <w:r>
        <w:rPr>
          <w:rFonts w:hint="eastAsia" w:ascii="仿宋_GB2312" w:hAnsi="仿宋_GB2312" w:eastAsia="仿宋_GB2312" w:cs="仿宋_GB2312"/>
          <w:sz w:val="24"/>
          <w:szCs w:val="24"/>
        </w:rPr>
        <w:t>纪念馆开展实践教育教学</w:t>
      </w:r>
      <w:bookmarkEnd w:id="645"/>
      <w:bookmarkEnd w:id="646"/>
      <w:bookmarkEnd w:id="647"/>
      <w:bookmarkEnd w:id="648"/>
      <w:bookmarkEnd w:id="649"/>
      <w:bookmarkEnd w:id="650"/>
      <w:bookmarkEnd w:id="651"/>
      <w:bookmarkEnd w:id="652"/>
    </w:p>
    <w:p w14:paraId="0F720D8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both"/>
        <w:textAlignment w:val="baseline"/>
        <w:rPr>
          <w:rFonts w:hint="eastAsia" w:ascii="KaiTi_GB2312" w:hAnsi="KaiTi_GB2312" w:eastAsia="KaiTi_GB2312" w:cs="KaiTi_GB2312"/>
          <w:spacing w:val="11"/>
          <w:sz w:val="24"/>
          <w:szCs w:val="24"/>
          <w:lang w:val="en-US" w:eastAsia="zh-CN"/>
        </w:rPr>
      </w:pPr>
      <w:r>
        <w:rPr>
          <w:rFonts w:hint="eastAsia" w:ascii="KaiTi_GB2312" w:hAnsi="KaiTi_GB2312" w:eastAsia="KaiTi_GB2312" w:cs="KaiTi_GB2312"/>
          <w:spacing w:val="11"/>
          <w:sz w:val="24"/>
          <w:szCs w:val="24"/>
          <w:lang w:val="en-US" w:eastAsia="zh-CN"/>
        </w:rPr>
        <w:t>2025年4月，学校师生代表奔赴革命纪念馆开展思政课校外实践教育教学。在战役遗址、英烈故居等教学点，深入探究那段艰苦卓绝的革命历程，重温了革命先辈们“舍生忘死为人民、矢志不渝谋解放”的伟大情怀，深刻体会到他们英勇无畏、坚韧不拔、实事求是的精神品质。</w:t>
      </w:r>
    </w:p>
    <w:p w14:paraId="36DA3F2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both"/>
        <w:textAlignment w:val="baseline"/>
        <w:rPr>
          <w:rFonts w:hint="eastAsia" w:ascii="KaiTi_GB2312" w:hAnsi="KaiTi_GB2312" w:eastAsia="KaiTi_GB2312" w:cs="KaiTi_GB2312"/>
          <w:spacing w:val="11"/>
          <w:sz w:val="24"/>
          <w:szCs w:val="24"/>
          <w:lang w:val="en-US" w:eastAsia="zh-CN"/>
        </w:rPr>
      </w:pPr>
      <w:r>
        <w:rPr>
          <w:rFonts w:hint="eastAsia" w:ascii="KaiTi_GB2312" w:hAnsi="KaiTi_GB2312" w:eastAsia="KaiTi_GB2312" w:cs="KaiTi_GB2312"/>
          <w:spacing w:val="11"/>
          <w:sz w:val="24"/>
          <w:szCs w:val="24"/>
          <w:lang w:val="en-US" w:eastAsia="zh-CN"/>
        </w:rPr>
        <w:t>在事迹展厅，聆听讲解员讲述革命烈士在枪林弹雨中冲锋陷阵、在敌人酷刑下坚守信念、在艰难困苦中不懈斗争的英勇事迹，用心感悟革命精神的不朽力量。</w:t>
      </w:r>
    </w:p>
    <w:p w14:paraId="1E66B8D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jc w:val="both"/>
        <w:textAlignment w:val="baseline"/>
        <w:rPr>
          <w:rFonts w:hint="eastAsia" w:ascii="KaiTi_GB2312" w:hAnsi="KaiTi_GB2312" w:eastAsia="KaiTi_GB2312" w:cs="KaiTi_GB2312"/>
          <w:spacing w:val="11"/>
          <w:sz w:val="24"/>
          <w:szCs w:val="24"/>
          <w:lang w:val="en-US" w:eastAsia="zh-CN"/>
        </w:rPr>
      </w:pPr>
      <w:r>
        <w:drawing>
          <wp:anchor distT="0" distB="0" distL="114300" distR="114300" simplePos="0" relativeHeight="251660288" behindDoc="0" locked="0" layoutInCell="1" allowOverlap="1">
            <wp:simplePos x="0" y="0"/>
            <wp:positionH relativeFrom="column">
              <wp:posOffset>182880</wp:posOffset>
            </wp:positionH>
            <wp:positionV relativeFrom="paragraph">
              <wp:posOffset>16510</wp:posOffset>
            </wp:positionV>
            <wp:extent cx="4981575" cy="2400300"/>
            <wp:effectExtent l="0" t="0" r="9525" b="0"/>
            <wp:wrapTopAndBottom/>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24"/>
                    <a:stretch>
                      <a:fillRect/>
                    </a:stretch>
                  </pic:blipFill>
                  <pic:spPr>
                    <a:xfrm>
                      <a:off x="0" y="0"/>
                      <a:ext cx="4981575" cy="2400300"/>
                    </a:xfrm>
                    <a:prstGeom prst="rect">
                      <a:avLst/>
                    </a:prstGeom>
                    <a:noFill/>
                    <a:ln>
                      <a:noFill/>
                    </a:ln>
                  </pic:spPr>
                </pic:pic>
              </a:graphicData>
            </a:graphic>
          </wp:anchor>
        </w:drawing>
      </w:r>
    </w:p>
    <w:p w14:paraId="0E475F2D">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val="en-US" w:eastAsia="zh-CN"/>
        </w:rPr>
      </w:pPr>
      <w:bookmarkStart w:id="653" w:name="_Toc14017"/>
      <w:bookmarkStart w:id="654" w:name="_Toc32156"/>
      <w:bookmarkStart w:id="655" w:name="_Toc9716"/>
      <w:bookmarkStart w:id="656" w:name="_Toc7250"/>
      <w:bookmarkStart w:id="657" w:name="_Toc31787"/>
      <w:r>
        <w:rPr>
          <w:rFonts w:hint="eastAsia" w:ascii="黑体" w:hAnsi="黑体" w:eastAsia="黑体" w:cs="黑体"/>
          <w:b w:val="0"/>
          <w:bCs w:val="0"/>
          <w:sz w:val="21"/>
          <w:szCs w:val="21"/>
          <w:lang w:val="en-US" w:eastAsia="zh-CN"/>
        </w:rPr>
        <w:t>图4-2学校师生在革命纪念馆参观</w:t>
      </w:r>
      <w:bookmarkEnd w:id="653"/>
      <w:bookmarkEnd w:id="654"/>
      <w:bookmarkEnd w:id="655"/>
      <w:bookmarkEnd w:id="656"/>
      <w:bookmarkEnd w:id="657"/>
    </w:p>
    <w:p w14:paraId="337751B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left"/>
        <w:textAlignment w:val="baseline"/>
        <w:rPr>
          <w:rFonts w:hint="eastAsia" w:ascii="KaiTi_GB2312" w:hAnsi="KaiTi_GB2312" w:eastAsia="KaiTi_GB2312" w:cs="KaiTi_GB2312"/>
          <w:spacing w:val="11"/>
          <w:sz w:val="24"/>
          <w:szCs w:val="24"/>
          <w:lang w:val="en-US" w:eastAsia="zh-CN"/>
        </w:rPr>
      </w:pPr>
    </w:p>
    <w:p w14:paraId="04B90F9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0" w:firstLine="531"/>
        <w:jc w:val="left"/>
        <w:textAlignment w:val="baseline"/>
      </w:pPr>
      <w:r>
        <w:rPr>
          <w:rFonts w:hint="eastAsia" w:ascii="KaiTi_GB2312" w:hAnsi="KaiTi_GB2312" w:eastAsia="KaiTi_GB2312" w:cs="KaiTi_GB2312"/>
          <w:spacing w:val="11"/>
          <w:sz w:val="24"/>
          <w:szCs w:val="24"/>
          <w:lang w:val="en-US" w:eastAsia="zh-CN"/>
        </w:rPr>
        <w:t>学校师生针对当天的实践教育教学内容展开了热烈研讨，大家一致表示，作为学生，要以革命先辈为楷模，进一步筑牢理想信念之基，认真学习他们无私奉献、为人民利益不惜牺牲一切的崇高精神，将革命精神铭刻于心，付诸实践。在今后的学习与工作中传承和弘扬革命精神，自觉提升思想境界，不忘初心，勇担使命，立志成为德智体美劳全面发展的社会主义建设者和肩负民族复兴重任的时代先锋。</w:t>
      </w:r>
      <w:bookmarkStart w:id="658" w:name="bookmark234"/>
      <w:bookmarkEnd w:id="658"/>
      <w:bookmarkStart w:id="659" w:name="bookmark152"/>
      <w:bookmarkEnd w:id="659"/>
      <w:bookmarkStart w:id="660" w:name="bookmark233"/>
      <w:bookmarkEnd w:id="660"/>
      <w:bookmarkStart w:id="661" w:name="bookmark151"/>
      <w:bookmarkEnd w:id="661"/>
    </w:p>
    <w:p w14:paraId="384742D4">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662" w:name="_Toc29952"/>
      <w:bookmarkStart w:id="663" w:name="_Toc26456"/>
      <w:bookmarkStart w:id="664" w:name="_Toc13579"/>
      <w:bookmarkStart w:id="665" w:name="_Toc28314"/>
      <w:bookmarkStart w:id="666" w:name="_Toc9169"/>
      <w:bookmarkStart w:id="667" w:name="_Toc20344"/>
      <w:bookmarkStart w:id="668" w:name="_Toc32596"/>
      <w:bookmarkStart w:id="669" w:name="_Toc16818"/>
      <w:bookmarkStart w:id="670" w:name="_Toc5953"/>
      <w:bookmarkStart w:id="671" w:name="_Toc23096"/>
      <w:r>
        <w:rPr>
          <w:rFonts w:hint="eastAsia" w:ascii="楷体_GB2312" w:hAnsi="楷体_GB2312" w:eastAsia="楷体_GB2312" w:cs="楷体_GB2312"/>
          <w:b/>
          <w:bCs/>
          <w:spacing w:val="5"/>
          <w:sz w:val="28"/>
          <w:szCs w:val="28"/>
          <w:lang w:val="en-US" w:eastAsia="zh-CN"/>
        </w:rPr>
        <w:t>4.3文明校园建设</w:t>
      </w:r>
      <w:bookmarkEnd w:id="662"/>
      <w:bookmarkEnd w:id="663"/>
      <w:bookmarkEnd w:id="664"/>
      <w:bookmarkEnd w:id="665"/>
      <w:bookmarkEnd w:id="666"/>
      <w:bookmarkEnd w:id="667"/>
      <w:bookmarkEnd w:id="668"/>
      <w:bookmarkEnd w:id="669"/>
      <w:bookmarkEnd w:id="670"/>
      <w:bookmarkEnd w:id="671"/>
    </w:p>
    <w:p w14:paraId="6E9509C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rPr>
        <w:t>学校始终将精神文明建设工作置于重要战略地位，在习近平新时代中国特色社会主义思想的光辉指引下，紧密围绕立德树人这一核心任务，以争创省级文明校园标兵为有力抓手，深度融入学校改革发展与教育教学的全方位进程。</w:t>
      </w:r>
    </w:p>
    <w:p w14:paraId="3A8453D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rPr>
        <w:t>于创建工作中，坚持高站位谋划，凝聚起强大的创建合力。文明校园创建作为凝聚人心、增强信心的关键工程，自启动标兵创建工作起，学校党委便给予高度重视，将其纳入党委年度工作重点与学校核心事务。组建由党委书记与校长领衔的领导小组，设立专门的创建办公室，构建起党委统一领导、文明办统筹协调、各部门协同负责、全员踊跃参与的高效创建格局。精心制定创建方案与责任清单，推动创建工作常态化、制度化开展，保障工作的高效推进。紧扣学习宣传贯彻党的二十大精神主线，强化理论武装与作风锤炼，着力打造忠诚干净担当的领导班子与干部队伍；深入实施“思想铸魂工程”与“三全育人”改革，构建起全方位的“大思政”工作体系；广泛开展形式多样、内容丰富的创建活动，积极践行社会主义核心价值观，为学校发展筑牢坚实思想根基并注入磅礴精神动力，以卓越的创建成果推动物质文明与精神文明同步发展。</w:t>
      </w:r>
    </w:p>
    <w:p w14:paraId="49A56B4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rPr>
        <w:t>秉持高品位追求，彰显鲜明的创建特色。文明创建注重品质内涵，学校坚持高品位引领、强内涵驱动，深度挖掘校本资源，全力打造特色亮点。在教师队伍建设方面，将师德师风建设置顶，构建起涵盖教育、宣传、考核、监督、奖惩等环节的长效机制，持续培育教师成长，切实保障教师权益，搭建广阔发展平台。在文化育人层面，充分挖掘省域、行业与校本文化宝藏，构建“明德尚行”校园文化体系，实施以中华优秀传统文化、革命文化和社会主义先进文化为导向的“六化”育人工程，精心打造校园文化景观，培育出社团文化节、读书节等知名文体活动品牌，以及久鸣大学生艺术团、武耀宗志愿服务队、校中军等极具特色与温度的校园文化名片，借助丰富多彩的文化活动与富有育人魅力的景观，助力学子精神成长。同时，强化阵地建设，让宣传阵地、文化活动阵地与网络阵地成为弘扬主旋律、传播正能量的主渠道，引领时代风尚。</w:t>
      </w:r>
    </w:p>
    <w:p w14:paraId="7C4D654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lang w:eastAsia="zh-CN"/>
        </w:rPr>
      </w:pPr>
      <w:r>
        <w:rPr>
          <w:rFonts w:hint="eastAsia" w:ascii="仿宋_GB2312" w:hAnsi="仿宋_GB2312" w:eastAsia="仿宋_GB2312" w:cs="仿宋_GB2312"/>
          <w:spacing w:val="7"/>
          <w:sz w:val="28"/>
          <w:szCs w:val="28"/>
        </w:rPr>
        <w:t>锚定高质量目标，实现创建成效的显著提升。学校始终将文明校园创建视为优化育人环境、提升人才培养质量与推动事业进步的关键载体，依循“高标准定位、高起点突破、高水平建设”的思路，突出重点、注重实效，持续拓展创建内涵与品质。精神文明建设各项工作成效斐然，文明校园六大建设工程全面推进，众多榜样人物、优秀个人与文化品牌脱颖而出，书写出一份份令人赞叹的“文明答卷”，为学校的长远发展注入了源源不断的动力与活力。</w:t>
      </w:r>
    </w:p>
    <w:p w14:paraId="74A695DB">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0"/>
        <w:rPr>
          <w:rFonts w:hint="eastAsia" w:ascii="仿宋_GB2312" w:hAnsi="仿宋_GB2312" w:eastAsia="仿宋_GB2312" w:cs="仿宋_GB2312"/>
          <w:sz w:val="24"/>
          <w:szCs w:val="24"/>
        </w:rPr>
      </w:pPr>
      <w:bookmarkStart w:id="672" w:name="bookmark235"/>
      <w:bookmarkEnd w:id="672"/>
      <w:bookmarkStart w:id="673" w:name="bookmark236"/>
      <w:bookmarkEnd w:id="673"/>
      <w:bookmarkStart w:id="674" w:name="_Toc10957"/>
      <w:bookmarkStart w:id="675" w:name="_Toc303"/>
      <w:bookmarkStart w:id="676" w:name="_Toc608"/>
      <w:bookmarkStart w:id="677" w:name="_Toc24434"/>
      <w:bookmarkStart w:id="678" w:name="_Toc4147"/>
      <w:bookmarkStart w:id="679" w:name="_Toc31492"/>
      <w:bookmarkStart w:id="680" w:name="_Toc31494"/>
      <w:bookmarkStart w:id="681" w:name="_Toc7591"/>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青春志愿行，温暖社区情</w:t>
      </w:r>
      <w:bookmarkEnd w:id="674"/>
      <w:bookmarkEnd w:id="675"/>
      <w:bookmarkEnd w:id="676"/>
      <w:bookmarkEnd w:id="677"/>
      <w:bookmarkEnd w:id="678"/>
      <w:bookmarkEnd w:id="679"/>
      <w:bookmarkEnd w:id="680"/>
      <w:bookmarkEnd w:id="681"/>
    </w:p>
    <w:p w14:paraId="1EB10C5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24" w:firstLineChars="200"/>
        <w:textAlignment w:val="baseline"/>
        <w:outlineLvl w:val="9"/>
        <w:rPr>
          <w:rFonts w:hint="eastAsia" w:ascii="KaiTi_GB2312" w:hAnsi="KaiTi_GB2312" w:eastAsia="KaiTi_GB2312" w:cs="KaiTi_GB2312"/>
          <w:spacing w:val="11"/>
          <w:sz w:val="24"/>
          <w:szCs w:val="24"/>
          <w:lang w:val="en-US" w:eastAsia="zh-CN"/>
        </w:rPr>
      </w:pPr>
      <w:r>
        <w:rPr>
          <w:rFonts w:hint="eastAsia" w:ascii="KaiTi_GB2312" w:hAnsi="KaiTi_GB2312" w:eastAsia="KaiTi_GB2312" w:cs="KaiTi_GB2312"/>
          <w:spacing w:val="11"/>
          <w:sz w:val="24"/>
          <w:szCs w:val="24"/>
          <w:lang w:val="en-US" w:eastAsia="zh-CN"/>
        </w:rPr>
        <w:t>2025年10月，学校师生代表志愿者们有序分组，满怀热忱地踏入社区孤寡老人的家门。一进屋，便积极地忙活起来，认真清扫房间的每一处角落，仔细擦拭家具上的灰尘，将杂乱的衣物悉心整理归位。在这过程中，他们还与老人亲切地唠家常，耐心倾听老人们讲述往昔的经历与内心的渴望。有的志愿者以精彩的才艺表演为老人带去欢乐，嘹亮的歌声在屋内回荡，诙谐的笑话让老人忍俊不禁。而另有志愿者用轻柔的手法为老人按摩，舒缓着老人身体的酸痛与疲惫。</w:t>
      </w:r>
    </w:p>
    <w:p w14:paraId="00713EB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24" w:firstLineChars="200"/>
        <w:textAlignment w:val="baseline"/>
        <w:outlineLvl w:val="9"/>
        <w:rPr>
          <w:rFonts w:hint="eastAsia" w:ascii="KaiTi_GB2312" w:hAnsi="KaiTi_GB2312" w:eastAsia="KaiTi_GB2312" w:cs="KaiTi_GB2312"/>
          <w:spacing w:val="11"/>
          <w:sz w:val="24"/>
          <w:szCs w:val="24"/>
          <w:lang w:val="en-US" w:eastAsia="zh-CN"/>
        </w:rPr>
      </w:pPr>
      <w:r>
        <w:rPr>
          <w:rFonts w:hint="eastAsia" w:ascii="KaiTi_GB2312" w:hAnsi="KaiTi_GB2312" w:eastAsia="KaiTi_GB2312" w:cs="KaiTi_GB2312"/>
          <w:spacing w:val="11"/>
          <w:sz w:val="24"/>
          <w:szCs w:val="24"/>
          <w:lang w:val="en-US" w:eastAsia="zh-CN"/>
        </w:rPr>
        <w:t>午后时分，志愿者们齐聚社区活动中心，领取各类环保工具后，迅速奔赴社区周边的街道、公园等区域。他们全然不顾垃圾的脏污与异味，不辞辛劳地穿梭其中，专注地捡起一个个烟头、一片片纸屑以及废弃的塑料瓶等杂物。与此同时，他们热情地向路过的居民宣传环保知识，用通俗易懂的话语倡导绿色生活理念，诚挚地呼吁大家齐心协力呵护社区环境，以实际行动为打造美丽家园贡献力量。</w:t>
      </w:r>
    </w:p>
    <w:p w14:paraId="75950FD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textAlignment w:val="baseline"/>
        <w:outlineLvl w:val="9"/>
        <w:rPr>
          <w:rFonts w:hint="eastAsia" w:ascii="KaiTi_GB2312" w:hAnsi="KaiTi_GB2312" w:eastAsia="KaiTi_GB2312" w:cs="KaiTi_GB2312"/>
          <w:spacing w:val="11"/>
          <w:sz w:val="24"/>
          <w:szCs w:val="24"/>
          <w:lang w:val="en-US" w:eastAsia="zh-CN"/>
        </w:rPr>
      </w:pPr>
      <w:r>
        <w:drawing>
          <wp:inline distT="0" distB="0" distL="114300" distR="114300">
            <wp:extent cx="5353050" cy="3581400"/>
            <wp:effectExtent l="0" t="0" r="0" b="0"/>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25"/>
                    <a:stretch>
                      <a:fillRect/>
                    </a:stretch>
                  </pic:blipFill>
                  <pic:spPr>
                    <a:xfrm>
                      <a:off x="0" y="0"/>
                      <a:ext cx="5353050" cy="3581400"/>
                    </a:xfrm>
                    <a:prstGeom prst="rect">
                      <a:avLst/>
                    </a:prstGeom>
                    <a:noFill/>
                    <a:ln>
                      <a:noFill/>
                    </a:ln>
                  </pic:spPr>
                </pic:pic>
              </a:graphicData>
            </a:graphic>
          </wp:inline>
        </w:drawing>
      </w:r>
    </w:p>
    <w:p w14:paraId="5D0AED7B">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default" w:ascii="黑体" w:hAnsi="黑体" w:eastAsia="黑体" w:cs="黑体"/>
          <w:b w:val="0"/>
          <w:bCs w:val="0"/>
          <w:sz w:val="21"/>
          <w:szCs w:val="21"/>
          <w:lang w:val="en-US" w:eastAsia="zh-CN"/>
        </w:rPr>
      </w:pPr>
      <w:bookmarkStart w:id="682" w:name="_Toc13567"/>
      <w:bookmarkStart w:id="683" w:name="_Toc31583"/>
      <w:bookmarkStart w:id="684" w:name="_Toc6881"/>
      <w:bookmarkStart w:id="685" w:name="_Toc24244"/>
      <w:bookmarkStart w:id="686" w:name="_Toc31588"/>
      <w:r>
        <w:rPr>
          <w:rFonts w:hint="eastAsia" w:ascii="黑体" w:hAnsi="黑体" w:eastAsia="黑体" w:cs="黑体"/>
          <w:b w:val="0"/>
          <w:bCs w:val="0"/>
          <w:sz w:val="21"/>
          <w:szCs w:val="21"/>
          <w:lang w:val="en-US" w:eastAsia="zh-CN"/>
        </w:rPr>
        <w:t>图4-3学校师生志愿者活动</w:t>
      </w:r>
      <w:bookmarkEnd w:id="682"/>
      <w:bookmarkEnd w:id="683"/>
      <w:bookmarkEnd w:id="684"/>
      <w:bookmarkEnd w:id="685"/>
      <w:bookmarkEnd w:id="686"/>
    </w:p>
    <w:p w14:paraId="5471CC4D">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left="0" w:leftChars="0" w:right="0" w:firstLine="659" w:firstLineChars="200"/>
        <w:textAlignment w:val="baseline"/>
        <w:outlineLvl w:val="0"/>
        <w:rPr>
          <w:rFonts w:hint="eastAsia" w:ascii="黑体" w:hAnsi="黑体" w:eastAsia="黑体" w:cs="黑体"/>
          <w:b/>
          <w:bCs/>
          <w:spacing w:val="4"/>
          <w:sz w:val="32"/>
          <w:szCs w:val="32"/>
          <w:lang w:val="en-US" w:eastAsia="zh-CN"/>
        </w:rPr>
      </w:pPr>
      <w:bookmarkStart w:id="687" w:name="_Toc7110"/>
      <w:bookmarkStart w:id="688" w:name="_Toc26579"/>
      <w:bookmarkStart w:id="689" w:name="_Toc28529"/>
      <w:bookmarkStart w:id="690" w:name="_Toc16166"/>
      <w:bookmarkStart w:id="691" w:name="_Toc4015"/>
      <w:bookmarkStart w:id="692" w:name="_Toc20432"/>
      <w:bookmarkStart w:id="693" w:name="_Toc8733"/>
      <w:bookmarkStart w:id="694" w:name="_Toc20845"/>
      <w:bookmarkStart w:id="695" w:name="_Toc23211"/>
      <w:bookmarkStart w:id="696" w:name="_Toc3313"/>
      <w:r>
        <w:rPr>
          <w:rFonts w:hint="eastAsia" w:ascii="黑体" w:hAnsi="黑体" w:eastAsia="黑体" w:cs="黑体"/>
          <w:b/>
          <w:bCs/>
          <w:spacing w:val="4"/>
          <w:sz w:val="32"/>
          <w:szCs w:val="32"/>
          <w:lang w:val="en-US" w:eastAsia="zh-CN"/>
        </w:rPr>
        <w:t>5国际合作</w:t>
      </w:r>
      <w:bookmarkEnd w:id="687"/>
      <w:bookmarkEnd w:id="688"/>
      <w:bookmarkEnd w:id="689"/>
      <w:bookmarkEnd w:id="690"/>
      <w:bookmarkEnd w:id="691"/>
      <w:bookmarkEnd w:id="692"/>
      <w:bookmarkEnd w:id="693"/>
      <w:bookmarkEnd w:id="694"/>
      <w:bookmarkEnd w:id="695"/>
      <w:bookmarkEnd w:id="696"/>
    </w:p>
    <w:p w14:paraId="33DA987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bookmarkStart w:id="697" w:name="bookmark52"/>
      <w:bookmarkEnd w:id="697"/>
      <w:r>
        <w:rPr>
          <w:rFonts w:hint="eastAsia" w:ascii="仿宋_GB2312" w:hAnsi="仿宋_GB2312" w:eastAsia="仿宋_GB2312" w:cs="仿宋_GB2312"/>
          <w:spacing w:val="7"/>
          <w:sz w:val="28"/>
          <w:szCs w:val="28"/>
        </w:rPr>
        <w:t>在全球化进程加速的当下，职业教育服务“一带一路”战略意义非凡，其作为新时代教育对外开放关键部分，能有效促进沿线国家人才交流与经济合作。然而，</w:t>
      </w:r>
      <w:r>
        <w:rPr>
          <w:rFonts w:hint="eastAsia" w:ascii="仿宋_GB2312" w:hAnsi="仿宋_GB2312" w:eastAsia="仿宋_GB2312" w:cs="仿宋_GB2312"/>
          <w:spacing w:val="7"/>
          <w:sz w:val="28"/>
          <w:szCs w:val="28"/>
          <w:lang w:val="en-US" w:eastAsia="zh-CN"/>
        </w:rPr>
        <w:t>学校</w:t>
      </w:r>
      <w:r>
        <w:rPr>
          <w:rFonts w:hint="eastAsia" w:ascii="仿宋_GB2312" w:hAnsi="仿宋_GB2312" w:eastAsia="仿宋_GB2312" w:cs="仿宋_GB2312"/>
          <w:spacing w:val="7"/>
          <w:sz w:val="28"/>
          <w:szCs w:val="28"/>
        </w:rPr>
        <w:t>目前受现有环境制约，尚未深入开展相关实践。但我们深知其重要性与紧迫性，积极筹备，全力响应国家政策号召。一方面，学校正着力改善教学设施与师资队伍，以契合国际交流需求；另一方面，与相关企业紧密合作，探索校企联合输出职业教育资源模式。未来近两年，我们将以破竹之势争取在国际合作办学、学生海外实习实训、教师跨国交流培训等方面取得实质性进展，让职业教育成为连接“一带一路”沿线国家情谊与发展的坚实桥梁，为中国外交战略添砖加瓦，也为学校发展开辟新的广阔天地。</w:t>
      </w:r>
    </w:p>
    <w:p w14:paraId="192ED932">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left="0" w:leftChars="0" w:right="0" w:firstLine="659" w:firstLineChars="200"/>
        <w:textAlignment w:val="baseline"/>
        <w:outlineLvl w:val="0"/>
        <w:rPr>
          <w:rFonts w:hint="eastAsia" w:ascii="黑体" w:hAnsi="黑体" w:eastAsia="黑体" w:cs="黑体"/>
          <w:b/>
          <w:bCs/>
          <w:spacing w:val="4"/>
          <w:sz w:val="32"/>
          <w:szCs w:val="32"/>
          <w:lang w:val="en-US" w:eastAsia="zh-CN"/>
        </w:rPr>
      </w:pPr>
      <w:bookmarkStart w:id="698" w:name="_Toc25993"/>
      <w:bookmarkStart w:id="699" w:name="_Toc23210"/>
      <w:bookmarkStart w:id="700" w:name="_Toc10641"/>
      <w:bookmarkStart w:id="701" w:name="_Toc28859"/>
      <w:bookmarkStart w:id="702" w:name="_Toc11446"/>
      <w:bookmarkStart w:id="703" w:name="_Toc8192"/>
      <w:bookmarkStart w:id="704" w:name="_Toc8316"/>
      <w:bookmarkStart w:id="705" w:name="_Toc10305"/>
      <w:bookmarkStart w:id="706" w:name="_Toc24994"/>
      <w:bookmarkStart w:id="707" w:name="_Toc11225"/>
      <w:r>
        <w:rPr>
          <w:rFonts w:hint="eastAsia" w:ascii="黑体" w:hAnsi="黑体" w:eastAsia="黑体" w:cs="黑体"/>
          <w:b/>
          <w:bCs/>
          <w:spacing w:val="4"/>
          <w:sz w:val="32"/>
          <w:szCs w:val="32"/>
          <w:lang w:val="en-US" w:eastAsia="zh-CN"/>
        </w:rPr>
        <w:t>6产教融合</w:t>
      </w:r>
      <w:bookmarkEnd w:id="698"/>
      <w:bookmarkEnd w:id="699"/>
      <w:bookmarkEnd w:id="700"/>
      <w:bookmarkEnd w:id="701"/>
      <w:bookmarkEnd w:id="702"/>
      <w:bookmarkEnd w:id="703"/>
      <w:bookmarkEnd w:id="704"/>
      <w:bookmarkEnd w:id="705"/>
      <w:bookmarkEnd w:id="706"/>
      <w:bookmarkEnd w:id="707"/>
    </w:p>
    <w:p w14:paraId="004BC3B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学校与企业发展进行深度融合，在专业建设、学生培养、教师团队建设、技能大赛、数字化资源建设等方面不断加强合作、探索新出路，在推进产学研创一体、教学生产互动、现代导师团队和技能获奖取得了系列成绩，资源库数目成效明显攀升。</w:t>
      </w:r>
    </w:p>
    <w:p w14:paraId="1F16EBD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学校所推行的产教融合模式，即学校与特定产业或企业构建起紧密的合作关联，携手开展教育教学相关活动，以此提升学生的实践操作能力与职业综合素养，进而推动就业进程并助力产业繁荣发展。</w:t>
      </w:r>
    </w:p>
    <w:p w14:paraId="4ECA35C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于中职学校而言，产教融合具有多维度的具体实践形式。</w:t>
      </w:r>
    </w:p>
    <w:p w14:paraId="032D2AB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其一，构建校外实训基地，学校与相关企业协同合作，于企业内部设立实训场所，为学生营造真实的职业场景并赋予其实际操作契机，使其在实践中切实领悟并掌握职业技能。</w:t>
      </w:r>
    </w:p>
    <w:p w14:paraId="217C9E8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其二，推进校企合作项目，学校联合企业共同开展项目活动，把企业的现实需求与面临的问题融入教学环节，让学生在实践中探寻解决方案，以此锤炼其实践能力与创新思维。</w:t>
      </w:r>
    </w:p>
    <w:p w14:paraId="1BAA100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其三，吸纳企业导师，学校诚邀企业专业人才担当导师角色，为学生给予实践指导并助力其职业规划构建，使其更为深入地洞悉行业动态与职业发展路径，增强职业素养与就业竞争力。</w:t>
      </w:r>
    </w:p>
    <w:p w14:paraId="641F175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FangSong_GB2312" w:hAnsi="FangSong_GB2312" w:eastAsia="FangSong_GB2312" w:cs="FangSong_GB2312"/>
          <w:spacing w:val="6"/>
          <w:sz w:val="28"/>
          <w:szCs w:val="28"/>
        </w:rPr>
      </w:pPr>
      <w:r>
        <w:rPr>
          <w:rFonts w:hint="eastAsia" w:ascii="仿宋_GB2312" w:hAnsi="仿宋_GB2312" w:eastAsia="仿宋_GB2312" w:cs="仿宋_GB2312"/>
          <w:spacing w:val="7"/>
          <w:sz w:val="28"/>
          <w:szCs w:val="28"/>
        </w:rPr>
        <w:t>其四，开设实践教学课程，学校将实践教学有机融入课程体系，借助实验、实训、课程设计等手段，促使学生在实践里获取知识，提升实践与创新能力</w:t>
      </w:r>
      <w:r>
        <w:rPr>
          <w:rFonts w:hint="eastAsia" w:ascii="仿宋_GB2312" w:hAnsi="仿宋_GB2312" w:eastAsia="仿宋_GB2312" w:cs="仿宋_GB2312"/>
          <w:spacing w:val="7"/>
          <w:sz w:val="28"/>
          <w:szCs w:val="28"/>
          <w:lang w:eastAsia="zh-CN"/>
        </w:rPr>
        <w:t>。</w:t>
      </w:r>
      <w:bookmarkStart w:id="708" w:name="bookmark61"/>
      <w:bookmarkEnd w:id="708"/>
    </w:p>
    <w:p w14:paraId="2849E81C">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709" w:name="bookmark60"/>
      <w:bookmarkEnd w:id="709"/>
      <w:bookmarkStart w:id="710" w:name="_Toc18169"/>
      <w:bookmarkStart w:id="711" w:name="_Toc2344"/>
      <w:bookmarkStart w:id="712" w:name="_Toc3824"/>
      <w:bookmarkStart w:id="713" w:name="_Toc9809"/>
      <w:bookmarkStart w:id="714" w:name="_Toc30689"/>
      <w:bookmarkStart w:id="715" w:name="_Toc24617"/>
      <w:bookmarkStart w:id="716" w:name="_Toc4891"/>
      <w:bookmarkStart w:id="717" w:name="_Toc14076"/>
      <w:bookmarkStart w:id="718" w:name="_Toc12026"/>
      <w:bookmarkStart w:id="719" w:name="_Toc17178"/>
      <w:r>
        <w:rPr>
          <w:rFonts w:hint="eastAsia" w:ascii="楷体_GB2312" w:hAnsi="楷体_GB2312" w:eastAsia="楷体_GB2312" w:cs="楷体_GB2312"/>
          <w:b/>
          <w:bCs/>
          <w:spacing w:val="5"/>
          <w:sz w:val="28"/>
          <w:szCs w:val="28"/>
          <w:lang w:val="en-US" w:eastAsia="zh-CN"/>
        </w:rPr>
        <w:t>6.1专业培育与建设</w:t>
      </w:r>
      <w:bookmarkEnd w:id="710"/>
      <w:bookmarkEnd w:id="711"/>
      <w:bookmarkEnd w:id="712"/>
      <w:bookmarkEnd w:id="713"/>
      <w:bookmarkEnd w:id="714"/>
      <w:bookmarkEnd w:id="715"/>
      <w:bookmarkEnd w:id="716"/>
      <w:bookmarkEnd w:id="717"/>
      <w:bookmarkEnd w:id="718"/>
      <w:bookmarkEnd w:id="719"/>
    </w:p>
    <w:p w14:paraId="119CCC71">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pacing w:val="7"/>
          <w:sz w:val="28"/>
          <w:szCs w:val="28"/>
        </w:rPr>
      </w:pPr>
      <w:r>
        <w:rPr>
          <w:rFonts w:hint="eastAsia" w:ascii="仿宋_GB2312" w:hAnsi="仿宋_GB2312" w:eastAsia="仿宋_GB2312" w:cs="仿宋_GB2312"/>
          <w:spacing w:val="7"/>
          <w:sz w:val="28"/>
          <w:szCs w:val="28"/>
        </w:rPr>
        <w:t>学校深入行业企业调研，结合招生及就业等大数据分析，主动适应交通行业和服务中原经济区建设需求，适应河南省经济社会发展和产业转型升级的需求，新增了</w:t>
      </w:r>
      <w:r>
        <w:rPr>
          <w:rFonts w:hint="eastAsia" w:ascii="仿宋_GB2312" w:hAnsi="仿宋_GB2312" w:eastAsia="仿宋_GB2312" w:cs="仿宋_GB2312"/>
          <w:spacing w:val="7"/>
          <w:sz w:val="28"/>
          <w:szCs w:val="28"/>
          <w:lang w:val="en-US" w:eastAsia="zh-CN"/>
        </w:rPr>
        <w:t>应急救援技术1</w:t>
      </w:r>
      <w:r>
        <w:rPr>
          <w:rFonts w:hint="eastAsia" w:ascii="仿宋_GB2312" w:hAnsi="仿宋_GB2312" w:eastAsia="仿宋_GB2312" w:cs="仿宋_GB2312"/>
          <w:spacing w:val="7"/>
          <w:sz w:val="28"/>
          <w:szCs w:val="28"/>
        </w:rPr>
        <w:t>个专业</w:t>
      </w:r>
      <w:r>
        <w:rPr>
          <w:rFonts w:hint="eastAsia" w:ascii="仿宋_GB2312" w:hAnsi="仿宋_GB2312" w:eastAsia="仿宋_GB2312" w:cs="仿宋_GB2312"/>
          <w:spacing w:val="7"/>
          <w:sz w:val="28"/>
          <w:szCs w:val="28"/>
          <w:lang w:eastAsia="zh-CN"/>
        </w:rPr>
        <w:t>。</w:t>
      </w:r>
      <w:r>
        <w:rPr>
          <w:rFonts w:hint="eastAsia" w:ascii="仿宋_GB2312" w:hAnsi="仿宋_GB2312" w:eastAsia="仿宋_GB2312" w:cs="仿宋_GB2312"/>
          <w:spacing w:val="7"/>
          <w:sz w:val="28"/>
          <w:szCs w:val="28"/>
        </w:rPr>
        <w:t>现学校为有效结合专业发展定位，突出</w:t>
      </w:r>
      <w:r>
        <w:rPr>
          <w:rFonts w:hint="eastAsia" w:ascii="仿宋_GB2312" w:hAnsi="仿宋_GB2312" w:eastAsia="仿宋_GB2312" w:cs="仿宋_GB2312"/>
          <w:spacing w:val="7"/>
          <w:sz w:val="28"/>
          <w:szCs w:val="28"/>
          <w:lang w:val="en-US" w:eastAsia="zh-CN"/>
        </w:rPr>
        <w:t>运动训练</w:t>
      </w:r>
      <w:r>
        <w:rPr>
          <w:rFonts w:hint="eastAsia" w:ascii="仿宋_GB2312" w:hAnsi="仿宋_GB2312" w:eastAsia="仿宋_GB2312" w:cs="仿宋_GB2312"/>
          <w:spacing w:val="7"/>
          <w:sz w:val="28"/>
          <w:szCs w:val="28"/>
        </w:rPr>
        <w:t>特色与优势，学校共设置</w:t>
      </w:r>
      <w:r>
        <w:rPr>
          <w:rFonts w:hint="eastAsia" w:ascii="仿宋_GB2312" w:hAnsi="仿宋_GB2312" w:eastAsia="仿宋_GB2312" w:cs="仿宋_GB2312"/>
          <w:spacing w:val="7"/>
          <w:sz w:val="28"/>
          <w:szCs w:val="28"/>
          <w:lang w:val="en-US" w:eastAsia="zh-CN"/>
        </w:rPr>
        <w:t>10</w:t>
      </w:r>
      <w:r>
        <w:rPr>
          <w:rFonts w:hint="eastAsia" w:ascii="仿宋_GB2312" w:hAnsi="仿宋_GB2312" w:eastAsia="仿宋_GB2312" w:cs="仿宋_GB2312"/>
          <w:spacing w:val="7"/>
          <w:sz w:val="28"/>
          <w:szCs w:val="28"/>
        </w:rPr>
        <w:t>个专业，涵盖</w:t>
      </w:r>
      <w:r>
        <w:rPr>
          <w:rFonts w:hint="eastAsia" w:ascii="仿宋_GB2312" w:hAnsi="仿宋_GB2312" w:eastAsia="仿宋_GB2312" w:cs="仿宋_GB2312"/>
          <w:spacing w:val="7"/>
          <w:sz w:val="28"/>
          <w:szCs w:val="28"/>
          <w:lang w:val="en-US" w:eastAsia="zh-CN"/>
        </w:rPr>
        <w:t>8</w:t>
      </w:r>
      <w:r>
        <w:rPr>
          <w:rFonts w:hint="eastAsia" w:ascii="仿宋_GB2312" w:hAnsi="仿宋_GB2312" w:eastAsia="仿宋_GB2312" w:cs="仿宋_GB2312"/>
          <w:spacing w:val="7"/>
          <w:sz w:val="28"/>
          <w:szCs w:val="28"/>
        </w:rPr>
        <w:t>个专业大类，专业结构更趋合理。</w:t>
      </w:r>
    </w:p>
    <w:p w14:paraId="37CB3F9D">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720" w:name="bookmark62"/>
      <w:bookmarkEnd w:id="720"/>
      <w:bookmarkStart w:id="721" w:name="_Toc24005"/>
      <w:bookmarkStart w:id="722" w:name="_Toc25085"/>
      <w:bookmarkStart w:id="723" w:name="_Toc28814"/>
      <w:bookmarkStart w:id="724" w:name="_Toc24363"/>
      <w:bookmarkStart w:id="725" w:name="_Toc106"/>
      <w:bookmarkStart w:id="726" w:name="_Toc7536"/>
      <w:bookmarkStart w:id="727" w:name="_Toc12803"/>
      <w:bookmarkStart w:id="728" w:name="_Toc8031"/>
      <w:bookmarkStart w:id="729" w:name="_Toc15767"/>
      <w:bookmarkStart w:id="730" w:name="_Toc26387"/>
      <w:r>
        <w:rPr>
          <w:rFonts w:hint="eastAsia" w:ascii="楷体_GB2312" w:hAnsi="楷体_GB2312" w:eastAsia="楷体_GB2312" w:cs="楷体_GB2312"/>
          <w:b/>
          <w:bCs/>
          <w:spacing w:val="5"/>
          <w:sz w:val="28"/>
          <w:szCs w:val="28"/>
          <w:lang w:val="en-US" w:eastAsia="zh-CN"/>
        </w:rPr>
        <w:t>6.2校企双元育人</w:t>
      </w:r>
      <w:bookmarkEnd w:id="721"/>
      <w:bookmarkEnd w:id="722"/>
      <w:bookmarkEnd w:id="723"/>
      <w:bookmarkEnd w:id="724"/>
      <w:bookmarkEnd w:id="725"/>
      <w:bookmarkEnd w:id="726"/>
      <w:bookmarkEnd w:id="727"/>
      <w:bookmarkEnd w:id="728"/>
      <w:bookmarkEnd w:id="729"/>
      <w:bookmarkEnd w:id="730"/>
    </w:p>
    <w:p w14:paraId="3D5F926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88"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pacing w:val="7"/>
          <w:sz w:val="28"/>
          <w:szCs w:val="28"/>
        </w:rPr>
        <w:t>校企合作与产教融合在职业教育中占据着举足轻重的地位，既是培育高素质技能人才的必然需求，更是学校迈向高质量内涵式发展的关键要素。近年来，</w:t>
      </w:r>
      <w:r>
        <w:rPr>
          <w:rFonts w:hint="eastAsia" w:ascii="仿宋_GB2312" w:hAnsi="仿宋_GB2312" w:eastAsia="仿宋_GB2312" w:cs="仿宋_GB2312"/>
          <w:spacing w:val="7"/>
          <w:sz w:val="28"/>
          <w:szCs w:val="28"/>
          <w:lang w:eastAsia="zh-CN"/>
        </w:rPr>
        <w:t>学校</w:t>
      </w:r>
      <w:r>
        <w:rPr>
          <w:rFonts w:hint="eastAsia" w:ascii="仿宋_GB2312" w:hAnsi="仿宋_GB2312" w:eastAsia="仿宋_GB2312" w:cs="仿宋_GB2312"/>
          <w:spacing w:val="7"/>
          <w:sz w:val="28"/>
          <w:szCs w:val="28"/>
        </w:rPr>
        <w:t>敏锐感知时代脉搏，积极作为。主动依据市场动态调整专业方向，</w:t>
      </w:r>
      <w:r>
        <w:rPr>
          <w:rFonts w:hint="eastAsia" w:ascii="仿宋_GB2312" w:hAnsi="仿宋_GB2312" w:eastAsia="仿宋_GB2312" w:cs="仿宋_GB2312"/>
          <w:sz w:val="28"/>
          <w:szCs w:val="28"/>
        </w:rPr>
        <w:t>以开放之姿与企业紧密对接，并放眼国际前沿，力求与国际化标准接轨。在持续深化产教融合与校企合作的征程中，不断砥砺前行，全力探索多元合作模式，精心构建创新机制。历经努力，成功塑造出新时代校企合作的崭新格局，达成资源共享的双赢之境，携手共育契合社会需求的优秀人才，合力搭建广阔发展平台，共推学校与企业迈向更为璀璨的明天，为职业教育的蓬勃发展注入强劲动力。</w:t>
      </w:r>
    </w:p>
    <w:p w14:paraId="4B5B223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60" w:firstLineChars="200"/>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学校</w:t>
      </w:r>
      <w:r>
        <w:rPr>
          <w:rFonts w:hint="eastAsia" w:ascii="仿宋_GB2312" w:hAnsi="仿宋_GB2312" w:eastAsia="仿宋_GB2312" w:cs="仿宋_GB2312"/>
          <w:sz w:val="28"/>
          <w:szCs w:val="28"/>
        </w:rPr>
        <w:t>为提高学生就业率，积极开展与企业合作，与多家企业签订就业意向合同，同时与部分企业签订定制人才计划，开设定制班，根据企业的特定需要和岗位的技术要求，培养符合从事企业生产的人才，有较强的针对性、实用性和实效性。把学校的学生培养目标与社会需要相适应，实现了学校和企业资源和信息共享的模式。</w:t>
      </w:r>
    </w:p>
    <w:p w14:paraId="6FE3D23F">
      <w:pPr>
        <w:pStyle w:val="4"/>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jc w:val="center"/>
        <w:textAlignment w:val="baseline"/>
        <w:outlineLvl w:val="0"/>
        <w:rPr>
          <w:rFonts w:hint="eastAsia" w:ascii="仿宋_GB2312" w:hAnsi="仿宋_GB2312" w:eastAsia="仿宋_GB2312" w:cs="仿宋_GB2312"/>
          <w:sz w:val="24"/>
          <w:szCs w:val="24"/>
        </w:rPr>
      </w:pPr>
      <w:bookmarkStart w:id="731" w:name="_Toc18912"/>
      <w:bookmarkStart w:id="732" w:name="_Toc8897"/>
      <w:bookmarkStart w:id="733" w:name="_Toc17540"/>
      <w:bookmarkStart w:id="734" w:name="_Toc19059"/>
      <w:bookmarkStart w:id="735" w:name="_Toc29146"/>
      <w:bookmarkStart w:id="736" w:name="_Toc25739"/>
      <w:bookmarkStart w:id="737" w:name="_Toc21571"/>
      <w:bookmarkStart w:id="738" w:name="_Toc4399"/>
      <w:bookmarkStart w:id="739" w:name="_Toc32264"/>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12</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大力发展职业教育，推动校企合作模式</w:t>
      </w:r>
      <w:bookmarkEnd w:id="731"/>
      <w:bookmarkEnd w:id="732"/>
      <w:bookmarkEnd w:id="733"/>
      <w:bookmarkEnd w:id="734"/>
      <w:bookmarkEnd w:id="735"/>
      <w:bookmarkEnd w:id="736"/>
      <w:bookmarkEnd w:id="737"/>
      <w:bookmarkEnd w:id="738"/>
      <w:bookmarkEnd w:id="739"/>
    </w:p>
    <w:p w14:paraId="063644F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left"/>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t>习近平总书记强调“职业教育前途广阔、大有可为”。这凸显了职业教育在国民教育体系和人力资源开发中的重要战略地位，体现国家对于培养多样化人才、传承技术技能、促进就业创业等诸多重要理念的推动决心，为职业教育高质量发展指明了方向。</w:t>
      </w:r>
    </w:p>
    <w:p w14:paraId="50E3047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92" w:firstLineChars="200"/>
        <w:textAlignment w:val="baseline"/>
        <w:outlineLvl w:val="9"/>
        <w:rPr>
          <w:rFonts w:hint="eastAsia" w:ascii="楷体_GB2312" w:hAnsi="楷体_GB2312" w:eastAsia="楷体_GB2312" w:cs="楷体_GB2312"/>
          <w:sz w:val="24"/>
          <w:szCs w:val="24"/>
        </w:rPr>
      </w:pPr>
      <w:bookmarkStart w:id="740" w:name="_Toc21040"/>
      <w:r>
        <w:rPr>
          <w:rFonts w:hint="eastAsia" w:ascii="楷体_GB2312" w:hAnsi="楷体_GB2312" w:eastAsia="楷体_GB2312" w:cs="楷体_GB2312"/>
          <w:b w:val="0"/>
          <w:bCs w:val="0"/>
          <w:spacing w:val="3"/>
          <w:sz w:val="24"/>
          <w:szCs w:val="24"/>
        </w:rPr>
        <w:t>中学教育侧重于学生对理论知识的汲取，与之相较，职业教育则聚焦于学生职业实践操作能力与专业技能的锤炼。能够迅速且娴熟地开展工作，并具备本职业所需的综合素质、技能与理论知识，这对于学生未来就业而言是极为关键的要素，亦是企业在发展与建设进程中遴选人才的重要目标。</w:t>
      </w:r>
      <w:bookmarkEnd w:id="740"/>
    </w:p>
    <w:p w14:paraId="36857AA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jc w:val="left"/>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rPr>
        <w:drawing>
          <wp:inline distT="0" distB="0" distL="114300" distR="114300">
            <wp:extent cx="5039995" cy="2395855"/>
            <wp:effectExtent l="0" t="0" r="825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6"/>
                    <a:stretch>
                      <a:fillRect/>
                    </a:stretch>
                  </pic:blipFill>
                  <pic:spPr>
                    <a:xfrm>
                      <a:off x="0" y="0"/>
                      <a:ext cx="5039995" cy="2395855"/>
                    </a:xfrm>
                    <a:prstGeom prst="rect">
                      <a:avLst/>
                    </a:prstGeom>
                    <a:noFill/>
                    <a:ln>
                      <a:noFill/>
                    </a:ln>
                  </pic:spPr>
                </pic:pic>
              </a:graphicData>
            </a:graphic>
          </wp:inline>
        </w:drawing>
      </w:r>
    </w:p>
    <w:p w14:paraId="4C978E16">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val="en-US" w:eastAsia="zh-CN"/>
        </w:rPr>
      </w:pPr>
      <w:bookmarkStart w:id="741" w:name="_Toc5303"/>
      <w:bookmarkStart w:id="742" w:name="_Toc14169"/>
      <w:bookmarkStart w:id="743" w:name="_Toc11006"/>
      <w:bookmarkStart w:id="744" w:name="_Toc7575"/>
      <w:bookmarkStart w:id="745" w:name="_Toc13743"/>
      <w:bookmarkStart w:id="746" w:name="_Toc9385"/>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6-1</w:t>
      </w:r>
      <w:r>
        <w:rPr>
          <w:rFonts w:hint="eastAsia" w:ascii="黑体" w:hAnsi="黑体" w:eastAsia="黑体" w:cs="黑体"/>
          <w:b w:val="0"/>
          <w:bCs w:val="0"/>
          <w:sz w:val="21"/>
          <w:szCs w:val="21"/>
          <w:lang w:eastAsia="zh-CN"/>
        </w:rPr>
        <w:t>职业教育前途广阔、大有可为</w:t>
      </w:r>
      <w:bookmarkEnd w:id="741"/>
      <w:bookmarkEnd w:id="742"/>
      <w:bookmarkEnd w:id="743"/>
      <w:bookmarkEnd w:id="744"/>
      <w:bookmarkEnd w:id="745"/>
      <w:bookmarkEnd w:id="746"/>
    </w:p>
    <w:p w14:paraId="38909E7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92" w:firstLineChars="200"/>
        <w:textAlignment w:val="baseline"/>
        <w:outlineLvl w:val="9"/>
        <w:rPr>
          <w:rFonts w:hint="eastAsia" w:ascii="楷体_GB2312" w:hAnsi="楷体_GB2312" w:eastAsia="楷体_GB2312" w:cs="楷体_GB2312"/>
          <w:b w:val="0"/>
          <w:bCs w:val="0"/>
          <w:spacing w:val="3"/>
          <w:sz w:val="24"/>
          <w:szCs w:val="24"/>
        </w:rPr>
      </w:pPr>
      <w:bookmarkStart w:id="747" w:name="bookmark57"/>
      <w:bookmarkEnd w:id="747"/>
      <w:bookmarkStart w:id="748" w:name="_Toc30907"/>
      <w:r>
        <w:rPr>
          <w:rFonts w:hint="eastAsia" w:ascii="楷体_GB2312" w:hAnsi="楷体_GB2312" w:eastAsia="楷体_GB2312" w:cs="楷体_GB2312"/>
          <w:b w:val="0"/>
          <w:bCs w:val="0"/>
          <w:spacing w:val="3"/>
          <w:sz w:val="24"/>
          <w:szCs w:val="24"/>
        </w:rPr>
        <w:t>政府工作报告着重指出，构建现代职业教育体系，并全力培育出大批高水平创新创业人才、青年人才以及急需紧缺人才，以此应对社会发展需求。近年来，我国高等教育虽为社会输送了海量中高级人才资源，然而随着社会经济结构的深度转型，先进制造业与现代服务业对应用型人才的需求愈发强劲，人力资源结构性供需矛盾也逐步凸显。</w:t>
      </w:r>
      <w:bookmarkEnd w:id="748"/>
    </w:p>
    <w:p w14:paraId="29A1397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92" w:firstLineChars="200"/>
        <w:textAlignment w:val="baseline"/>
        <w:outlineLvl w:val="9"/>
        <w:rPr>
          <w:rFonts w:hint="eastAsia" w:ascii="楷体_GB2312" w:hAnsi="楷体_GB2312" w:eastAsia="楷体_GB2312" w:cs="楷体_GB2312"/>
          <w:b w:val="0"/>
          <w:bCs w:val="0"/>
          <w:spacing w:val="3"/>
          <w:sz w:val="24"/>
          <w:szCs w:val="24"/>
        </w:rPr>
      </w:pPr>
      <w:bookmarkStart w:id="749" w:name="_Toc19811"/>
      <w:r>
        <w:rPr>
          <w:rFonts w:hint="eastAsia" w:ascii="楷体_GB2312" w:hAnsi="楷体_GB2312" w:eastAsia="楷体_GB2312" w:cs="楷体_GB2312"/>
          <w:b w:val="0"/>
          <w:bCs w:val="0"/>
          <w:spacing w:val="3"/>
          <w:sz w:val="24"/>
          <w:szCs w:val="24"/>
        </w:rPr>
        <w:t>《教育规划纲要》明确提出：加速普及高中阶段教育，合理规划普通高中与中等职业学校的招生比例，在未来一段时期内，总体维持二者招生规模大致均衡。《中国教育改革和发展纲要》亦规定，至本世纪末，要确保初中毕业生的50%-70%进入中等职业技术学校或培训中心，使中等职业技术学校在校生在高中阶段在校生中的占比全国平均达到60%左右。反观日德等发达国家，其接受职业教育的比例已然超过80%。</w:t>
      </w:r>
      <w:bookmarkEnd w:id="749"/>
    </w:p>
    <w:p w14:paraId="2C70F15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492" w:firstLineChars="200"/>
        <w:textAlignment w:val="baseline"/>
        <w:rPr>
          <w:rFonts w:hint="eastAsia" w:ascii="楷体_GB2312" w:hAnsi="楷体_GB2312" w:eastAsia="楷体_GB2312" w:cs="楷体_GB2312"/>
          <w:sz w:val="24"/>
          <w:szCs w:val="24"/>
        </w:rPr>
      </w:pPr>
      <w:bookmarkStart w:id="750" w:name="_Toc1793"/>
      <w:r>
        <w:rPr>
          <w:rFonts w:hint="eastAsia" w:ascii="楷体_GB2312" w:hAnsi="楷体_GB2312" w:eastAsia="楷体_GB2312" w:cs="楷体_GB2312"/>
          <w:b w:val="0"/>
          <w:bCs w:val="0"/>
          <w:spacing w:val="3"/>
          <w:sz w:val="24"/>
          <w:szCs w:val="24"/>
        </w:rPr>
        <w:t>为助力学生快速契合岗位要求，学校在教育教学过程中着力营造真实的工作情境，让学生于实践中沉淀经验，铸就实操本领与专业技能。校企合作作为当下备受瞩目的职业教育模式，促使学生在校内研习理论知识，校外于企业中夯实相关专业知识与技能。借助工学交替、校企合作的方式，学生不仅能够提前熟稔工作所需技能，还能尽早领略企业文化与价值观，全方位提升职业操守与工作责任感，进而获取当前劳动力市场所必需的素质与技能，更高效地适应企业用人需求。</w:t>
      </w:r>
      <w:bookmarkEnd w:id="750"/>
    </w:p>
    <w:p w14:paraId="51D2E42F">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left="0" w:leftChars="0" w:right="0" w:firstLine="659" w:firstLineChars="200"/>
        <w:textAlignment w:val="baseline"/>
        <w:outlineLvl w:val="0"/>
        <w:rPr>
          <w:rFonts w:hint="eastAsia" w:ascii="黑体" w:hAnsi="黑体" w:eastAsia="黑体" w:cs="黑体"/>
          <w:b/>
          <w:bCs/>
          <w:spacing w:val="4"/>
          <w:sz w:val="32"/>
          <w:szCs w:val="32"/>
          <w:lang w:val="en-US" w:eastAsia="zh-CN"/>
        </w:rPr>
      </w:pPr>
      <w:bookmarkStart w:id="751" w:name="_Toc10408"/>
      <w:bookmarkStart w:id="752" w:name="_Toc7350"/>
      <w:bookmarkStart w:id="753" w:name="_Toc15233"/>
      <w:bookmarkStart w:id="754" w:name="_Toc11615"/>
      <w:bookmarkStart w:id="755" w:name="_Toc10876"/>
      <w:bookmarkStart w:id="756" w:name="_Toc12938"/>
      <w:bookmarkStart w:id="757" w:name="_Toc10950"/>
      <w:bookmarkStart w:id="758" w:name="_Toc11353"/>
      <w:bookmarkStart w:id="759" w:name="_Toc25280"/>
      <w:bookmarkStart w:id="760" w:name="_Toc32009"/>
      <w:r>
        <w:rPr>
          <w:rFonts w:hint="eastAsia" w:ascii="黑体" w:hAnsi="黑体" w:eastAsia="黑体" w:cs="黑体"/>
          <w:b/>
          <w:bCs/>
          <w:spacing w:val="4"/>
          <w:sz w:val="32"/>
          <w:szCs w:val="32"/>
          <w:lang w:val="en-US" w:eastAsia="zh-CN"/>
        </w:rPr>
        <w:t>7发展保障</w:t>
      </w:r>
      <w:bookmarkEnd w:id="751"/>
      <w:bookmarkEnd w:id="752"/>
      <w:bookmarkEnd w:id="753"/>
      <w:bookmarkEnd w:id="754"/>
      <w:bookmarkEnd w:id="755"/>
      <w:bookmarkEnd w:id="756"/>
      <w:bookmarkEnd w:id="757"/>
      <w:bookmarkEnd w:id="758"/>
      <w:bookmarkEnd w:id="759"/>
      <w:bookmarkEnd w:id="760"/>
    </w:p>
    <w:p w14:paraId="498453F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72" w:firstLineChars="200"/>
        <w:textAlignment w:val="baseline"/>
        <w:outlineLvl w:val="9"/>
        <w:rPr>
          <w:rFonts w:hint="eastAsia" w:ascii="仿宋_GB2312" w:hAnsi="仿宋_GB2312" w:eastAsia="仿宋_GB2312" w:cs="仿宋_GB2312"/>
          <w:b w:val="0"/>
          <w:bCs w:val="0"/>
          <w:spacing w:val="3"/>
          <w:sz w:val="28"/>
          <w:szCs w:val="28"/>
          <w:lang w:eastAsia="zh-CN"/>
        </w:rPr>
      </w:pPr>
      <w:bookmarkStart w:id="761" w:name="_Toc16922"/>
      <w:r>
        <w:rPr>
          <w:rFonts w:hint="eastAsia" w:ascii="仿宋_GB2312" w:hAnsi="仿宋_GB2312" w:eastAsia="仿宋_GB2312" w:cs="仿宋_GB2312"/>
          <w:b w:val="0"/>
          <w:bCs w:val="0"/>
          <w:spacing w:val="3"/>
          <w:sz w:val="28"/>
          <w:szCs w:val="28"/>
          <w:lang w:val="en-US" w:eastAsia="zh-CN"/>
        </w:rPr>
        <w:t>郑州青年职业中等专业</w:t>
      </w:r>
      <w:r>
        <w:rPr>
          <w:rFonts w:hint="eastAsia" w:ascii="仿宋_GB2312" w:hAnsi="仿宋_GB2312" w:eastAsia="仿宋_GB2312" w:cs="仿宋_GB2312"/>
          <w:b w:val="0"/>
          <w:bCs w:val="0"/>
          <w:spacing w:val="3"/>
          <w:sz w:val="28"/>
          <w:szCs w:val="28"/>
        </w:rPr>
        <w:t>学校系经教育局批准设立的民办学校，办学经费主要由学校投资方负责筹集，社会捐赠作为补充，经费来源稳定可靠，切实有所保障，符合相关标准要求。</w:t>
      </w:r>
      <w:bookmarkEnd w:id="761"/>
    </w:p>
    <w:p w14:paraId="5D6461C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both"/>
        <w:textAlignment w:val="baseline"/>
        <w:rPr>
          <w:rFonts w:hint="eastAsia" w:ascii="仿宋_GB2312" w:hAnsi="仿宋_GB2312" w:eastAsia="仿宋_GB2312" w:cs="仿宋_GB2312"/>
          <w:i w:val="0"/>
          <w:iCs w:val="0"/>
          <w:caps w:val="0"/>
          <w:color w:val="1F2329"/>
          <w:spacing w:val="0"/>
          <w:sz w:val="28"/>
          <w:szCs w:val="28"/>
          <w:shd w:val="clear" w:fill="FFFFFF"/>
          <w:lang w:eastAsia="zh-CN"/>
        </w:rPr>
      </w:pPr>
      <w:r>
        <w:rPr>
          <w:rFonts w:hint="eastAsia" w:ascii="仿宋_GB2312" w:hAnsi="仿宋_GB2312" w:eastAsia="仿宋_GB2312" w:cs="仿宋_GB2312"/>
          <w:i w:val="0"/>
          <w:iCs w:val="0"/>
          <w:caps w:val="0"/>
          <w:color w:val="1F2329"/>
          <w:spacing w:val="0"/>
          <w:sz w:val="28"/>
          <w:szCs w:val="28"/>
          <w:shd w:val="clear" w:fill="FFFFFF"/>
        </w:rPr>
        <w:t>学校发展保障可从多方面着力推进：</w:t>
      </w:r>
    </w:p>
    <w:p w14:paraId="64B74BF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both"/>
        <w:textAlignment w:val="baseline"/>
        <w:rPr>
          <w:rFonts w:hint="eastAsia" w:ascii="仿宋_GB2312" w:hAnsi="仿宋_GB2312" w:eastAsia="仿宋_GB2312" w:cs="仿宋_GB2312"/>
          <w:i w:val="0"/>
          <w:iCs w:val="0"/>
          <w:caps w:val="0"/>
          <w:color w:val="1F2329"/>
          <w:spacing w:val="0"/>
          <w:sz w:val="28"/>
          <w:szCs w:val="28"/>
          <w:shd w:val="clear" w:fill="FFFFFF"/>
          <w:lang w:eastAsia="zh-CN"/>
        </w:rPr>
      </w:pPr>
      <w:r>
        <w:rPr>
          <w:rFonts w:hint="eastAsia" w:ascii="仿宋_GB2312" w:hAnsi="仿宋_GB2312" w:eastAsia="仿宋_GB2312" w:cs="仿宋_GB2312"/>
          <w:i w:val="0"/>
          <w:iCs w:val="0"/>
          <w:caps w:val="0"/>
          <w:color w:val="1F2329"/>
          <w:spacing w:val="0"/>
          <w:sz w:val="28"/>
          <w:szCs w:val="28"/>
          <w:shd w:val="clear" w:fill="FFFFFF"/>
        </w:rPr>
        <w:t>师资保障方面，学校需高度重视师资队伍建设工作。一方面，积极引进在专业领域有所建树的优秀教师，充实师资力量；另一方面，强化教师培训体系，通过定期组织专业技能提升培训、教学方法研讨交流等活动，全面提升教师的专业素养与教学能力，进而提高教师队伍的整体素质水平。</w:t>
      </w:r>
    </w:p>
    <w:p w14:paraId="665C0F5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both"/>
        <w:textAlignment w:val="baseline"/>
        <w:rPr>
          <w:rFonts w:hint="eastAsia" w:ascii="仿宋_GB2312" w:hAnsi="仿宋_GB2312" w:eastAsia="仿宋_GB2312" w:cs="仿宋_GB2312"/>
          <w:i w:val="0"/>
          <w:iCs w:val="0"/>
          <w:caps w:val="0"/>
          <w:color w:val="1F2329"/>
          <w:spacing w:val="0"/>
          <w:sz w:val="28"/>
          <w:szCs w:val="28"/>
          <w:shd w:val="clear" w:fill="FFFFFF"/>
          <w:lang w:eastAsia="zh-CN"/>
        </w:rPr>
      </w:pPr>
      <w:r>
        <w:rPr>
          <w:rFonts w:hint="eastAsia" w:ascii="仿宋_GB2312" w:hAnsi="仿宋_GB2312" w:eastAsia="仿宋_GB2312" w:cs="仿宋_GB2312"/>
          <w:i w:val="0"/>
          <w:iCs w:val="0"/>
          <w:caps w:val="0"/>
          <w:color w:val="1F2329"/>
          <w:spacing w:val="0"/>
          <w:sz w:val="28"/>
          <w:szCs w:val="28"/>
          <w:shd w:val="clear" w:fill="FFFFFF"/>
        </w:rPr>
        <w:t>实践教学保障上，学校应将实践教学置于重要位置。大力加强实验、实训基地的建设与完善，为学生创造良好的实践环境，切实提升学生实践能力与职业素养。此外，积极与企业建立深度合作关系，开展校企合作项目，让学生有更多机会深入企业一线参与实践操作，积累丰富的实践经验。</w:t>
      </w:r>
    </w:p>
    <w:p w14:paraId="4FF53967">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jc w:val="both"/>
        <w:textAlignment w:val="baseline"/>
        <w:rPr>
          <w:rFonts w:hint="eastAsia" w:ascii="仿宋_GB2312" w:hAnsi="仿宋_GB2312" w:eastAsia="仿宋_GB2312" w:cs="仿宋_GB2312"/>
          <w:b w:val="0"/>
          <w:bCs w:val="0"/>
          <w:spacing w:val="3"/>
          <w:sz w:val="28"/>
          <w:szCs w:val="28"/>
          <w:lang w:val="en-US" w:eastAsia="zh-CN"/>
        </w:rPr>
      </w:pPr>
      <w:r>
        <w:rPr>
          <w:rFonts w:hint="eastAsia" w:ascii="仿宋_GB2312" w:hAnsi="仿宋_GB2312" w:eastAsia="仿宋_GB2312" w:cs="仿宋_GB2312"/>
          <w:i w:val="0"/>
          <w:iCs w:val="0"/>
          <w:caps w:val="0"/>
          <w:color w:val="1F2329"/>
          <w:spacing w:val="0"/>
          <w:sz w:val="28"/>
          <w:szCs w:val="28"/>
          <w:shd w:val="clear" w:fill="FFFFFF"/>
        </w:rPr>
        <w:t>就业保障环节，学校着重关注学生就业指导与服务工作。帮助学生深入洞悉市场需求与就业形势，通过开展职业规划课程、求职技巧培训等活动，增强学生就业竞争力与职业素养。同时，与企业紧密合作，推行订单式培养、校企合作等模式，拓宽学生就业渠道，为学生创造更多优质就业机会。</w:t>
      </w:r>
    </w:p>
    <w:p w14:paraId="52B9EE31">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762" w:name="_Toc5554"/>
      <w:bookmarkStart w:id="763" w:name="_Toc25903"/>
      <w:bookmarkStart w:id="764" w:name="_Toc6633"/>
      <w:bookmarkStart w:id="765" w:name="_Toc30412"/>
      <w:bookmarkStart w:id="766" w:name="_Toc2055"/>
      <w:bookmarkStart w:id="767" w:name="_Toc8199"/>
      <w:bookmarkStart w:id="768" w:name="_Toc25235"/>
      <w:bookmarkStart w:id="769" w:name="_Toc30413"/>
      <w:bookmarkStart w:id="770" w:name="_Toc9690"/>
      <w:bookmarkStart w:id="771" w:name="_Toc9659"/>
      <w:r>
        <w:rPr>
          <w:rFonts w:hint="eastAsia" w:ascii="楷体_GB2312" w:hAnsi="楷体_GB2312" w:eastAsia="楷体_GB2312" w:cs="楷体_GB2312"/>
          <w:b/>
          <w:bCs/>
          <w:spacing w:val="5"/>
          <w:sz w:val="28"/>
          <w:szCs w:val="28"/>
          <w:lang w:val="en-US" w:eastAsia="zh-CN"/>
        </w:rPr>
        <w:t>7.1机制保障</w:t>
      </w:r>
      <w:bookmarkEnd w:id="762"/>
      <w:bookmarkEnd w:id="763"/>
      <w:bookmarkEnd w:id="764"/>
      <w:bookmarkEnd w:id="765"/>
      <w:bookmarkEnd w:id="766"/>
      <w:bookmarkEnd w:id="767"/>
      <w:bookmarkEnd w:id="768"/>
      <w:bookmarkEnd w:id="769"/>
      <w:bookmarkEnd w:id="770"/>
      <w:bookmarkEnd w:id="771"/>
    </w:p>
    <w:p w14:paraId="6BB03B3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ascii="FangSong_GB2312" w:hAnsi="FangSong_GB2312" w:eastAsia="FangSong_GB2312" w:cs="FangSong_GB2312"/>
          <w:spacing w:val="7"/>
          <w:sz w:val="28"/>
          <w:szCs w:val="28"/>
        </w:rPr>
      </w:pPr>
      <w:r>
        <w:rPr>
          <w:rFonts w:ascii="FangSong_GB2312" w:hAnsi="FangSong_GB2312" w:eastAsia="FangSong_GB2312" w:cs="FangSong_GB2312"/>
          <w:spacing w:val="6"/>
          <w:sz w:val="28"/>
          <w:szCs w:val="28"/>
        </w:rPr>
        <w:t>坚持和完善党委领导下的校长负责制，坚决贯</w:t>
      </w:r>
      <w:r>
        <w:rPr>
          <w:rFonts w:ascii="FangSong_GB2312" w:hAnsi="FangSong_GB2312" w:eastAsia="FangSong_GB2312" w:cs="FangSong_GB2312"/>
          <w:spacing w:val="5"/>
          <w:sz w:val="28"/>
          <w:szCs w:val="28"/>
        </w:rPr>
        <w:t>彻落实民主集中制</w:t>
      </w:r>
      <w:r>
        <w:rPr>
          <w:rFonts w:hint="eastAsia" w:ascii="FangSong_GB2312" w:hAnsi="FangSong_GB2312" w:eastAsia="FangSong_GB2312" w:cs="FangSong_GB2312"/>
          <w:spacing w:val="5"/>
          <w:sz w:val="28"/>
          <w:szCs w:val="28"/>
          <w:lang w:eastAsia="zh-CN"/>
        </w:rPr>
        <w:t>，</w:t>
      </w:r>
      <w:r>
        <w:rPr>
          <w:rFonts w:ascii="FangSong_GB2312" w:hAnsi="FangSong_GB2312" w:eastAsia="FangSong_GB2312" w:cs="FangSong_GB2312"/>
          <w:spacing w:val="8"/>
          <w:sz w:val="28"/>
          <w:szCs w:val="28"/>
        </w:rPr>
        <w:t>大力推进内部治理改革，强化保障服务能力，改善校园环境条件，学</w:t>
      </w:r>
      <w:r>
        <w:rPr>
          <w:rFonts w:ascii="FangSong_GB2312" w:hAnsi="FangSong_GB2312" w:eastAsia="FangSong_GB2312" w:cs="FangSong_GB2312"/>
          <w:spacing w:val="7"/>
          <w:sz w:val="28"/>
          <w:szCs w:val="28"/>
        </w:rPr>
        <w:t>校治理能力和水平不断提高。</w:t>
      </w:r>
    </w:p>
    <w:p w14:paraId="15BD9EF5">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ascii="FangSong_GB2312" w:hAnsi="FangSong_GB2312" w:eastAsia="FangSong_GB2312" w:cs="FangSong_GB2312"/>
          <w:spacing w:val="7"/>
          <w:sz w:val="28"/>
          <w:szCs w:val="28"/>
          <w:lang w:eastAsia="zh-CN"/>
        </w:rPr>
      </w:pPr>
      <w:r>
        <w:rPr>
          <w:rFonts w:hint="eastAsia" w:ascii="FangSong_GB2312" w:hAnsi="FangSong_GB2312" w:eastAsia="FangSong_GB2312" w:cs="FangSong_GB2312"/>
          <w:spacing w:val="7"/>
          <w:sz w:val="28"/>
          <w:szCs w:val="28"/>
        </w:rPr>
        <w:t>学校全方位推进改革举措，筑牢发展根基。通过精心编制“十四五”事业发展规划，锚定改革发展方向与任务。严格落实“三重一大”等议事规则，保障决策科学。基于章程开展制度“废、改、立、释”，构建标准化内部管理体系，同时完善教代会等民主管理机制，增设多类委员会，健全治理结构与运行机制。构建科学化考核评价体系，从多维度激发人才创新活力，打造重贡献、差异化收入分配体系，依岗位特性健全绩效工资机制，强化岗位全流程管理，发挥绩效激励作用。此外，完善政策制度，对教师管理各方面予以明确规定，为教师队伍管理打造坚实保障，全方位激发办学活力与人员积极性，推动学校持续稳健发展。</w:t>
      </w:r>
    </w:p>
    <w:p w14:paraId="2B86509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ascii="FangSong_GB2312" w:hAnsi="FangSong_GB2312" w:eastAsia="FangSong_GB2312" w:cs="FangSong_GB2312"/>
          <w:spacing w:val="7"/>
          <w:sz w:val="28"/>
          <w:szCs w:val="28"/>
        </w:rPr>
      </w:pPr>
      <w:bookmarkStart w:id="772" w:name="_Toc18715"/>
      <w:r>
        <w:rPr>
          <w:rFonts w:hint="eastAsia" w:ascii="FangSong_GB2312" w:hAnsi="FangSong_GB2312" w:eastAsia="FangSong_GB2312" w:cs="FangSong_GB2312"/>
          <w:spacing w:val="7"/>
          <w:sz w:val="28"/>
          <w:szCs w:val="28"/>
        </w:rPr>
        <w:t>各专业依据自身特色，积极探索现代学徒制试点工作，深入探寻小组学习、合作学习与自主学习模式，并结合学生实际推行分层教学、导师制等教学改革举措，同时构建学习困难学生帮扶、特长学生培育、卓越学生成长等多元机制。</w:t>
      </w:r>
      <w:bookmarkEnd w:id="772"/>
    </w:p>
    <w:p w14:paraId="2B4F403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ascii="FangSong_GB2312" w:hAnsi="FangSong_GB2312" w:eastAsia="FangSong_GB2312" w:cs="FangSong_GB2312"/>
          <w:spacing w:val="7"/>
          <w:sz w:val="28"/>
          <w:szCs w:val="28"/>
        </w:rPr>
      </w:pPr>
      <w:bookmarkStart w:id="773" w:name="_Toc5059"/>
      <w:r>
        <w:rPr>
          <w:rFonts w:hint="eastAsia" w:ascii="FangSong_GB2312" w:hAnsi="FangSong_GB2312" w:eastAsia="FangSong_GB2312" w:cs="FangSong_GB2312"/>
          <w:spacing w:val="7"/>
          <w:sz w:val="28"/>
          <w:szCs w:val="28"/>
        </w:rPr>
        <w:t>在教学信息化推进方面，学校购置虚拟教学软件，为师生的教学与学习搭建便捷平台。校内所有教室均配备多媒体设备，全体教师皆能熟练运用信息化手段开展课堂教学与网络教学活动，极大提升了教学的灵活性与高效性。</w:t>
      </w:r>
      <w:bookmarkEnd w:id="773"/>
    </w:p>
    <w:p w14:paraId="086563E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ascii="FangSong_GB2312" w:hAnsi="FangSong_GB2312" w:eastAsia="FangSong_GB2312" w:cs="FangSong_GB2312"/>
          <w:spacing w:val="7"/>
          <w:sz w:val="28"/>
          <w:szCs w:val="28"/>
        </w:rPr>
      </w:pPr>
      <w:bookmarkStart w:id="774" w:name="_Toc29517"/>
      <w:r>
        <w:rPr>
          <w:rFonts w:hint="eastAsia" w:ascii="FangSong_GB2312" w:hAnsi="FangSong_GB2312" w:eastAsia="FangSong_GB2312" w:cs="FangSong_GB2312"/>
          <w:spacing w:val="7"/>
          <w:sz w:val="28"/>
          <w:szCs w:val="28"/>
        </w:rPr>
        <w:t>学校高度重视教学质量监控体系建设，制定并持续优化教育教学质量监测实施办法，以教学成效评判教师工作，以素质能力衡量学生发展，以社会贡献评估学校办学水平，形成全方位、多层次的质量监控网络。</w:t>
      </w:r>
      <w:bookmarkEnd w:id="774"/>
    </w:p>
    <w:p w14:paraId="67FD134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ascii="FangSong_GB2312" w:hAnsi="FangSong_GB2312" w:eastAsia="FangSong_GB2312" w:cs="FangSong_GB2312"/>
          <w:spacing w:val="7"/>
          <w:sz w:val="28"/>
          <w:szCs w:val="28"/>
        </w:rPr>
      </w:pPr>
      <w:bookmarkStart w:id="775" w:name="_Toc19740"/>
      <w:r>
        <w:rPr>
          <w:rFonts w:hint="eastAsia" w:ascii="FangSong_GB2312" w:hAnsi="FangSong_GB2312" w:eastAsia="FangSong_GB2312" w:cs="FangSong_GB2312"/>
          <w:spacing w:val="7"/>
          <w:sz w:val="28"/>
          <w:szCs w:val="28"/>
        </w:rPr>
        <w:t>于后勤管理工作中，学校秉持规范化理念，明确责任分工，强化制度建设。组建以校长为核心、分管领导与总务主任协同负责的后勤工作领导小组，建立健全涵盖购物、领物、收费登记，实物台帐，固定资产管理等一系列后勤管理制度，为后勤工作有序开展提供坚实保障。会计人员严谨细致地处理开学收费及学期末账务核算事宜，同时精准完成固定资产的清查盘点工作。学校还成立食品卫生安全工作领导小组，由校长任组长，制定食品突发事件应急预案，严格落实《食堂管理员工作职责》《食品卫生检查制度》等管理制度。选派中层干部担任食堂安全责任人，签订目标管理责任书与《学校食品卫生安全承诺书》，强化后勤人员服务与安全意识，提升服务质量，杜绝食品安全事故。定期组织食堂工作人员学习相关卫生法规，通报食物中毒事件，防患于未然。</w:t>
      </w:r>
      <w:bookmarkEnd w:id="775"/>
    </w:p>
    <w:p w14:paraId="153B0DA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ascii="FangSong_GB2312" w:hAnsi="FangSong_GB2312" w:eastAsia="FangSong_GB2312" w:cs="FangSong_GB2312"/>
          <w:spacing w:val="7"/>
          <w:sz w:val="28"/>
          <w:szCs w:val="28"/>
        </w:rPr>
      </w:pPr>
      <w:bookmarkStart w:id="776" w:name="_Toc29082"/>
      <w:r>
        <w:rPr>
          <w:rFonts w:hint="eastAsia" w:ascii="FangSong_GB2312" w:hAnsi="FangSong_GB2312" w:eastAsia="FangSong_GB2312" w:cs="FangSong_GB2312"/>
          <w:spacing w:val="7"/>
          <w:sz w:val="28"/>
          <w:szCs w:val="28"/>
        </w:rPr>
        <w:t>学校精心组建平安校园工作领导小组，校长作为学校安全第一责任人，小组成员与职能部门负责人各司其职，构建起层级清晰、责任明确的安全工作网络，工作推进有计划、有方案、有部署、有检查、有考核，且考核结果与教职工薪酬紧密挂钩。</w:t>
      </w:r>
      <w:bookmarkEnd w:id="776"/>
    </w:p>
    <w:p w14:paraId="397896C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eastAsia="FangSong_GB2312"/>
          <w:lang w:eastAsia="zh-CN"/>
        </w:rPr>
      </w:pPr>
      <w:bookmarkStart w:id="777" w:name="_Toc23765"/>
      <w:r>
        <w:rPr>
          <w:rFonts w:hint="eastAsia" w:ascii="FangSong_GB2312" w:hAnsi="FangSong_GB2312" w:eastAsia="FangSong_GB2312" w:cs="FangSong_GB2312"/>
          <w:spacing w:val="7"/>
          <w:sz w:val="28"/>
          <w:szCs w:val="28"/>
        </w:rPr>
        <w:t>此外，学校持续修订完善管理制度，构建起包括教学督导、学生评教、教师听课、教师评教等在内的综合评价体系，全面客观地评价教学过程与效果。在财务管理方面，严格遵循财务管理制度，要求财会人员当好学校管理参谋，做到账目清晰、账物相符、收支合理，并按月向校长汇报财务状况。购物审批严格执行校长一支笔制度，购物发票需经手人、分管领导、校长签字确认方可生效，确保财务工作规范严谨、透明高效。</w:t>
      </w:r>
      <w:bookmarkEnd w:id="777"/>
    </w:p>
    <w:p w14:paraId="166A03E4">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778" w:name="_Toc26105"/>
      <w:bookmarkStart w:id="779" w:name="_Toc22198"/>
      <w:bookmarkStart w:id="780" w:name="_Toc21440"/>
      <w:bookmarkStart w:id="781" w:name="_Toc15745"/>
      <w:bookmarkStart w:id="782" w:name="_Toc16751"/>
      <w:bookmarkStart w:id="783" w:name="_Toc26958"/>
      <w:bookmarkStart w:id="784" w:name="_Toc29501"/>
      <w:bookmarkStart w:id="785" w:name="_Toc25584"/>
      <w:bookmarkStart w:id="786" w:name="_Toc2731"/>
      <w:bookmarkStart w:id="787" w:name="_Toc18111"/>
      <w:r>
        <w:rPr>
          <w:rFonts w:hint="eastAsia" w:ascii="楷体_GB2312" w:hAnsi="楷体_GB2312" w:eastAsia="楷体_GB2312" w:cs="楷体_GB2312"/>
          <w:b/>
          <w:bCs/>
          <w:spacing w:val="5"/>
          <w:sz w:val="28"/>
          <w:szCs w:val="28"/>
          <w:lang w:val="en-US" w:eastAsia="zh-CN"/>
        </w:rPr>
        <w:t>7.2质量保障</w:t>
      </w:r>
      <w:bookmarkEnd w:id="778"/>
      <w:bookmarkEnd w:id="779"/>
      <w:bookmarkEnd w:id="780"/>
      <w:bookmarkEnd w:id="781"/>
      <w:bookmarkEnd w:id="782"/>
      <w:bookmarkEnd w:id="783"/>
      <w:bookmarkEnd w:id="784"/>
      <w:bookmarkEnd w:id="785"/>
      <w:bookmarkEnd w:id="786"/>
      <w:bookmarkEnd w:id="787"/>
    </w:p>
    <w:p w14:paraId="361EF12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hint="eastAsia" w:ascii="楷体_GB2312" w:hAnsi="楷体_GB2312" w:eastAsia="楷体_GB2312" w:cs="楷体_GB2312"/>
          <w:b/>
          <w:bCs/>
          <w:spacing w:val="3"/>
          <w:sz w:val="28"/>
          <w:szCs w:val="28"/>
        </w:rPr>
      </w:pPr>
      <w:bookmarkStart w:id="788" w:name="_Toc3457"/>
      <w:bookmarkStart w:id="789" w:name="_Toc9764"/>
      <w:bookmarkStart w:id="790" w:name="_Toc3432"/>
      <w:bookmarkStart w:id="791" w:name="_Toc7040"/>
      <w:bookmarkStart w:id="792" w:name="_Toc11438"/>
      <w:bookmarkStart w:id="793" w:name="_Toc24549"/>
      <w:bookmarkStart w:id="794" w:name="_Toc31512"/>
      <w:bookmarkStart w:id="795" w:name="_Toc28281"/>
      <w:bookmarkStart w:id="796" w:name="_Toc27738"/>
      <w:bookmarkStart w:id="797" w:name="_Toc16819"/>
      <w:r>
        <w:rPr>
          <w:rFonts w:hint="eastAsia" w:ascii="楷体_GB2312" w:hAnsi="楷体_GB2312" w:eastAsia="楷体_GB2312" w:cs="楷体_GB2312"/>
          <w:b/>
          <w:bCs/>
          <w:spacing w:val="3"/>
          <w:sz w:val="28"/>
          <w:szCs w:val="28"/>
        </w:rPr>
        <w:t>7.</w:t>
      </w:r>
      <w:r>
        <w:rPr>
          <w:rFonts w:hint="eastAsia" w:ascii="楷体_GB2312" w:hAnsi="楷体_GB2312" w:eastAsia="楷体_GB2312" w:cs="楷体_GB2312"/>
          <w:b/>
          <w:bCs/>
          <w:spacing w:val="3"/>
          <w:sz w:val="28"/>
          <w:szCs w:val="28"/>
          <w:lang w:val="en-US" w:eastAsia="zh-CN"/>
        </w:rPr>
        <w:t>2</w:t>
      </w:r>
      <w:r>
        <w:rPr>
          <w:rFonts w:hint="eastAsia" w:ascii="楷体_GB2312" w:hAnsi="楷体_GB2312" w:eastAsia="楷体_GB2312" w:cs="楷体_GB2312"/>
          <w:b/>
          <w:bCs/>
          <w:spacing w:val="3"/>
          <w:sz w:val="28"/>
          <w:szCs w:val="28"/>
        </w:rPr>
        <w:t>.</w:t>
      </w:r>
      <w:r>
        <w:rPr>
          <w:rFonts w:hint="eastAsia" w:ascii="楷体_GB2312" w:hAnsi="楷体_GB2312" w:eastAsia="楷体_GB2312" w:cs="楷体_GB2312"/>
          <w:b/>
          <w:bCs/>
          <w:spacing w:val="3"/>
          <w:sz w:val="28"/>
          <w:szCs w:val="28"/>
          <w:lang w:eastAsia="zh-CN"/>
        </w:rPr>
        <w:t>1</w:t>
      </w:r>
      <w:r>
        <w:rPr>
          <w:rFonts w:hint="eastAsia" w:ascii="楷体_GB2312" w:hAnsi="楷体_GB2312" w:eastAsia="楷体_GB2312" w:cs="楷体_GB2312"/>
          <w:b/>
          <w:bCs/>
          <w:spacing w:val="3"/>
          <w:sz w:val="28"/>
          <w:szCs w:val="28"/>
        </w:rPr>
        <w:t>强化教学质量保证与监控评价</w:t>
      </w:r>
      <w:bookmarkEnd w:id="788"/>
      <w:bookmarkEnd w:id="789"/>
      <w:bookmarkEnd w:id="790"/>
      <w:bookmarkEnd w:id="791"/>
      <w:bookmarkEnd w:id="792"/>
      <w:bookmarkEnd w:id="793"/>
      <w:bookmarkEnd w:id="794"/>
      <w:bookmarkEnd w:id="795"/>
      <w:bookmarkEnd w:id="796"/>
      <w:bookmarkEnd w:id="797"/>
    </w:p>
    <w:p w14:paraId="6F8C07A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ascii="FangSong_GB2312" w:hAnsi="FangSong_GB2312" w:eastAsia="FangSong_GB2312" w:cs="FangSong_GB2312"/>
          <w:sz w:val="28"/>
          <w:szCs w:val="28"/>
        </w:rPr>
      </w:pPr>
      <w:r>
        <w:rPr>
          <w:rFonts w:hint="eastAsia" w:ascii="FangSong_GB2312" w:hAnsi="FangSong_GB2312" w:eastAsia="FangSong_GB2312" w:cs="FangSong_GB2312"/>
          <w:spacing w:val="7"/>
          <w:sz w:val="28"/>
          <w:szCs w:val="28"/>
        </w:rPr>
        <w:t>学校积极推进质量管理体系建设，印发相关通知完善实践教学质量评价体系，强化监督管理。构建“三三三”教学督导评价模式，通过时间与空间维度串联学校、学生、企业三方，促进教学质量提升。采用“线上线下”混合督导，借助可视化教室平台便捷查班，线下走班听课全覆盖。同时，将校内外实践教学指导教师纳入学生评教，提升其能动性与实践教学管理指导水平，多举措并行保障教学质量稳步提高。</w:t>
      </w:r>
    </w:p>
    <w:p w14:paraId="316A8B9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594"/>
        <w:textAlignment w:val="baseline"/>
        <w:outlineLvl w:val="2"/>
        <w:rPr>
          <w:rFonts w:hint="eastAsia" w:ascii="楷体_GB2312" w:hAnsi="楷体_GB2312" w:eastAsia="楷体_GB2312" w:cs="楷体_GB2312"/>
          <w:sz w:val="28"/>
          <w:szCs w:val="28"/>
        </w:rPr>
      </w:pPr>
      <w:bookmarkStart w:id="798" w:name="_Toc27539"/>
      <w:bookmarkStart w:id="799" w:name="_Toc9255"/>
      <w:bookmarkStart w:id="800" w:name="_Toc19596"/>
      <w:bookmarkStart w:id="801" w:name="_Toc11537"/>
      <w:bookmarkStart w:id="802" w:name="_Toc12216"/>
      <w:bookmarkStart w:id="803" w:name="_Toc12260"/>
      <w:bookmarkStart w:id="804" w:name="_Toc24797"/>
      <w:bookmarkStart w:id="805" w:name="_Toc15198"/>
      <w:bookmarkStart w:id="806" w:name="_Toc20655"/>
      <w:bookmarkStart w:id="807" w:name="_Toc18410"/>
      <w:r>
        <w:rPr>
          <w:rFonts w:hint="eastAsia" w:ascii="楷体_GB2312" w:hAnsi="楷体_GB2312" w:eastAsia="楷体_GB2312" w:cs="楷体_GB2312"/>
          <w:b/>
          <w:bCs/>
          <w:spacing w:val="3"/>
          <w:sz w:val="28"/>
          <w:szCs w:val="28"/>
        </w:rPr>
        <w:t>7.</w:t>
      </w:r>
      <w:r>
        <w:rPr>
          <w:rFonts w:hint="eastAsia" w:ascii="楷体_GB2312" w:hAnsi="楷体_GB2312" w:eastAsia="楷体_GB2312" w:cs="楷体_GB2312"/>
          <w:b/>
          <w:bCs/>
          <w:spacing w:val="3"/>
          <w:sz w:val="28"/>
          <w:szCs w:val="28"/>
          <w:lang w:val="en-US" w:eastAsia="zh-CN"/>
        </w:rPr>
        <w:t>2</w:t>
      </w:r>
      <w:r>
        <w:rPr>
          <w:rFonts w:hint="eastAsia" w:ascii="楷体_GB2312" w:hAnsi="楷体_GB2312" w:eastAsia="楷体_GB2312" w:cs="楷体_GB2312"/>
          <w:b/>
          <w:bCs/>
          <w:spacing w:val="3"/>
          <w:sz w:val="28"/>
          <w:szCs w:val="28"/>
        </w:rPr>
        <w:t>.</w:t>
      </w:r>
      <w:r>
        <w:rPr>
          <w:rFonts w:hint="eastAsia" w:ascii="楷体_GB2312" w:hAnsi="楷体_GB2312" w:eastAsia="楷体_GB2312" w:cs="楷体_GB2312"/>
          <w:b/>
          <w:bCs/>
          <w:spacing w:val="3"/>
          <w:sz w:val="28"/>
          <w:szCs w:val="28"/>
          <w:lang w:eastAsia="zh-CN"/>
        </w:rPr>
        <w:t>2</w:t>
      </w:r>
      <w:r>
        <w:rPr>
          <w:rFonts w:hint="eastAsia" w:ascii="楷体_GB2312" w:hAnsi="楷体_GB2312" w:eastAsia="楷体_GB2312" w:cs="楷体_GB2312"/>
          <w:b/>
          <w:bCs/>
          <w:spacing w:val="3"/>
          <w:sz w:val="28"/>
          <w:szCs w:val="28"/>
        </w:rPr>
        <w:t>完善内部质量保证体系</w:t>
      </w:r>
      <w:bookmarkEnd w:id="798"/>
      <w:bookmarkEnd w:id="799"/>
      <w:bookmarkEnd w:id="800"/>
      <w:bookmarkEnd w:id="801"/>
      <w:bookmarkEnd w:id="802"/>
      <w:bookmarkEnd w:id="803"/>
      <w:bookmarkEnd w:id="804"/>
      <w:bookmarkEnd w:id="805"/>
      <w:bookmarkEnd w:id="806"/>
      <w:bookmarkEnd w:id="807"/>
    </w:p>
    <w:p w14:paraId="32A1768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firstLine="595"/>
        <w:textAlignment w:val="baseline"/>
        <w:rPr>
          <w:rFonts w:hint="eastAsia" w:ascii="FangSong_GB2312" w:hAnsi="FangSong_GB2312" w:eastAsia="FangSong_GB2312" w:cs="FangSong_GB2312"/>
          <w:spacing w:val="7"/>
          <w:sz w:val="28"/>
          <w:szCs w:val="28"/>
        </w:rPr>
      </w:pPr>
      <w:r>
        <w:rPr>
          <w:rFonts w:hint="eastAsia" w:ascii="FangSong_GB2312" w:hAnsi="FangSong_GB2312" w:eastAsia="FangSong_GB2312" w:cs="FangSong_GB2312"/>
          <w:spacing w:val="7"/>
          <w:sz w:val="28"/>
          <w:szCs w:val="28"/>
        </w:rPr>
        <w:t>依据教育部相关文件精神，学校大力推进教学内部质量保证体系建设。成立专门领导小组及办公室与职能小组，明确任务分工与时间节点，压实责任并完善制度。确定部门目标实施责任制，确保人人有责。强化“五纵五横一平台”管理，达成多平台数据互通共享。为优化教学质量管理体系，特色开展专业建设评价，借助诊改平台实现内部监测诊断，联合第三方平台进行外部适应性分析，构建专业动态调整的内外协同机制。</w:t>
      </w:r>
    </w:p>
    <w:p w14:paraId="34F1F22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600"/>
        <w:textAlignment w:val="baseline"/>
        <w:outlineLvl w:val="2"/>
        <w:rPr>
          <w:rFonts w:ascii="FangSong_GB2312" w:hAnsi="FangSong_GB2312" w:eastAsia="FangSong_GB2312" w:cs="FangSong_GB2312"/>
          <w:b/>
          <w:bCs/>
          <w:sz w:val="28"/>
          <w:szCs w:val="28"/>
        </w:rPr>
      </w:pPr>
      <w:bookmarkStart w:id="808" w:name="_Toc8719"/>
      <w:bookmarkStart w:id="809" w:name="_Toc2478"/>
      <w:bookmarkStart w:id="810" w:name="_Toc26461"/>
      <w:bookmarkStart w:id="811" w:name="_Toc515"/>
      <w:bookmarkStart w:id="812" w:name="_Toc29337"/>
      <w:bookmarkStart w:id="813" w:name="_Toc22330"/>
      <w:bookmarkStart w:id="814" w:name="_Toc7242"/>
      <w:bookmarkStart w:id="815" w:name="_Toc26112"/>
      <w:bookmarkStart w:id="816" w:name="_Toc16893"/>
      <w:bookmarkStart w:id="817" w:name="_Toc14704"/>
      <w:r>
        <w:rPr>
          <w:rFonts w:hint="eastAsia" w:ascii="楷体_GB2312" w:hAnsi="楷体_GB2312" w:eastAsia="楷体_GB2312" w:cs="楷体_GB2312"/>
          <w:b/>
          <w:bCs/>
          <w:spacing w:val="3"/>
          <w:sz w:val="28"/>
          <w:szCs w:val="28"/>
        </w:rPr>
        <w:t>7.</w:t>
      </w:r>
      <w:r>
        <w:rPr>
          <w:rFonts w:hint="eastAsia" w:ascii="楷体_GB2312" w:hAnsi="楷体_GB2312" w:eastAsia="楷体_GB2312" w:cs="楷体_GB2312"/>
          <w:b/>
          <w:bCs/>
          <w:spacing w:val="3"/>
          <w:sz w:val="28"/>
          <w:szCs w:val="28"/>
          <w:lang w:val="en-US" w:eastAsia="zh-CN"/>
        </w:rPr>
        <w:t>2</w:t>
      </w:r>
      <w:r>
        <w:rPr>
          <w:rFonts w:hint="eastAsia" w:ascii="楷体_GB2312" w:hAnsi="楷体_GB2312" w:eastAsia="楷体_GB2312" w:cs="楷体_GB2312"/>
          <w:b/>
          <w:bCs/>
          <w:spacing w:val="3"/>
          <w:sz w:val="28"/>
          <w:szCs w:val="28"/>
        </w:rPr>
        <w:t>.3重视年报编制和信息数据采集工作</w:t>
      </w:r>
      <w:bookmarkEnd w:id="808"/>
      <w:bookmarkEnd w:id="809"/>
      <w:bookmarkEnd w:id="810"/>
      <w:bookmarkEnd w:id="811"/>
      <w:bookmarkEnd w:id="812"/>
      <w:bookmarkEnd w:id="813"/>
      <w:bookmarkEnd w:id="814"/>
      <w:bookmarkEnd w:id="815"/>
      <w:bookmarkEnd w:id="816"/>
      <w:bookmarkEnd w:id="817"/>
    </w:p>
    <w:p w14:paraId="5AD2451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5" w:right="79" w:firstLine="597"/>
        <w:jc w:val="both"/>
        <w:textAlignment w:val="baseline"/>
        <w:rPr>
          <w:rFonts w:ascii="FangSong_GB2312" w:hAnsi="FangSong_GB2312" w:eastAsia="FangSong_GB2312" w:cs="FangSong_GB2312"/>
          <w:sz w:val="28"/>
          <w:szCs w:val="28"/>
        </w:rPr>
      </w:pPr>
      <w:r>
        <w:rPr>
          <w:rFonts w:ascii="FangSong_GB2312" w:hAnsi="FangSong_GB2312" w:eastAsia="FangSong_GB2312" w:cs="FangSong_GB2312"/>
          <w:spacing w:val="8"/>
          <w:sz w:val="28"/>
          <w:szCs w:val="28"/>
        </w:rPr>
        <w:t>落实上级文件要求，</w:t>
      </w:r>
      <w:r>
        <w:rPr>
          <w:rFonts w:hint="eastAsia" w:ascii="FangSong_GB2312" w:hAnsi="FangSong_GB2312" w:eastAsia="FangSong_GB2312" w:cs="FangSong_GB2312"/>
          <w:spacing w:val="8"/>
          <w:sz w:val="28"/>
          <w:szCs w:val="28"/>
          <w:lang w:val="en-US" w:eastAsia="zh-CN"/>
        </w:rPr>
        <w:t>学校</w:t>
      </w:r>
      <w:r>
        <w:rPr>
          <w:rFonts w:ascii="FangSong_GB2312" w:hAnsi="FangSong_GB2312" w:eastAsia="FangSong_GB2312" w:cs="FangSong_GB2312"/>
          <w:spacing w:val="8"/>
          <w:sz w:val="28"/>
          <w:szCs w:val="28"/>
        </w:rPr>
        <w:t>明确具体工作的时间节点、工作内容及分</w:t>
      </w:r>
      <w:r>
        <w:rPr>
          <w:rFonts w:ascii="FangSong_GB2312" w:hAnsi="FangSong_GB2312" w:eastAsia="FangSong_GB2312" w:cs="FangSong_GB2312"/>
          <w:spacing w:val="10"/>
          <w:sz w:val="28"/>
          <w:szCs w:val="28"/>
        </w:rPr>
        <w:t>工，完成了</w:t>
      </w:r>
      <w:r>
        <w:rPr>
          <w:rFonts w:hint="eastAsia" w:ascii="FangSong_GB2312" w:hAnsi="FangSong_GB2312" w:eastAsia="FangSong_GB2312" w:cs="FangSong_GB2312"/>
          <w:spacing w:val="10"/>
          <w:sz w:val="28"/>
          <w:szCs w:val="28"/>
          <w:lang w:eastAsia="zh-CN"/>
        </w:rPr>
        <w:t>2025</w:t>
      </w:r>
      <w:r>
        <w:rPr>
          <w:rFonts w:ascii="FangSong_GB2312" w:hAnsi="FangSong_GB2312" w:eastAsia="FangSong_GB2312" w:cs="FangSong_GB2312"/>
          <w:spacing w:val="10"/>
          <w:sz w:val="28"/>
          <w:szCs w:val="28"/>
        </w:rPr>
        <w:t>学年信息数据采集工作，编制《</w:t>
      </w:r>
      <w:r>
        <w:rPr>
          <w:rFonts w:hint="eastAsia" w:ascii="FangSong_GB2312" w:hAnsi="FangSong_GB2312" w:eastAsia="FangSong_GB2312" w:cs="FangSong_GB2312"/>
          <w:spacing w:val="10"/>
          <w:sz w:val="28"/>
          <w:szCs w:val="28"/>
          <w:lang w:val="en-US" w:eastAsia="zh-CN"/>
        </w:rPr>
        <w:t>郑州青年职业中等专业学校</w:t>
      </w:r>
      <w:r>
        <w:rPr>
          <w:rFonts w:ascii="FangSong_GB2312" w:hAnsi="FangSong_GB2312" w:eastAsia="FangSong_GB2312" w:cs="FangSong_GB2312"/>
          <w:spacing w:val="8"/>
          <w:sz w:val="28"/>
          <w:szCs w:val="28"/>
        </w:rPr>
        <w:t>教育质量年度报告（</w:t>
      </w:r>
      <w:r>
        <w:rPr>
          <w:rFonts w:hint="eastAsia" w:ascii="FangSong_GB2312" w:hAnsi="FangSong_GB2312" w:eastAsia="FangSong_GB2312" w:cs="FangSong_GB2312"/>
          <w:spacing w:val="8"/>
          <w:sz w:val="28"/>
          <w:szCs w:val="28"/>
          <w:lang w:eastAsia="zh-CN"/>
        </w:rPr>
        <w:t>2025</w:t>
      </w:r>
      <w:r>
        <w:rPr>
          <w:rFonts w:ascii="FangSong_GB2312" w:hAnsi="FangSong_GB2312" w:eastAsia="FangSong_GB2312" w:cs="FangSong_GB2312"/>
          <w:spacing w:val="8"/>
          <w:sz w:val="28"/>
          <w:szCs w:val="28"/>
        </w:rPr>
        <w:t>）》，全面反映学校的人才培养质量，并及时在学校网站面向社会发布。</w:t>
      </w:r>
    </w:p>
    <w:p w14:paraId="21646E37">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818" w:name="_Toc2201"/>
      <w:bookmarkStart w:id="819" w:name="_Toc2148"/>
      <w:bookmarkStart w:id="820" w:name="_Toc19136"/>
      <w:bookmarkStart w:id="821" w:name="_Toc24656"/>
      <w:bookmarkStart w:id="822" w:name="_Toc28631"/>
      <w:bookmarkStart w:id="823" w:name="_Toc29717"/>
      <w:bookmarkStart w:id="824" w:name="_Toc7750"/>
      <w:bookmarkStart w:id="825" w:name="_Toc217"/>
      <w:bookmarkStart w:id="826" w:name="_Toc9042"/>
      <w:bookmarkStart w:id="827" w:name="_Toc8847"/>
      <w:r>
        <w:rPr>
          <w:rFonts w:hint="eastAsia" w:ascii="楷体_GB2312" w:hAnsi="楷体_GB2312" w:eastAsia="楷体_GB2312" w:cs="楷体_GB2312"/>
          <w:b/>
          <w:bCs/>
          <w:spacing w:val="5"/>
          <w:sz w:val="28"/>
          <w:szCs w:val="28"/>
          <w:lang w:val="en-US" w:eastAsia="zh-CN"/>
        </w:rPr>
        <w:t>7.3条件保障</w:t>
      </w:r>
      <w:bookmarkEnd w:id="818"/>
      <w:bookmarkEnd w:id="819"/>
      <w:bookmarkEnd w:id="820"/>
      <w:bookmarkEnd w:id="821"/>
      <w:bookmarkEnd w:id="822"/>
      <w:bookmarkEnd w:id="823"/>
      <w:bookmarkEnd w:id="824"/>
      <w:bookmarkEnd w:id="825"/>
      <w:bookmarkEnd w:id="826"/>
      <w:bookmarkEnd w:id="827"/>
    </w:p>
    <w:p w14:paraId="4D78A39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firstLine="592" w:firstLineChars="200"/>
        <w:textAlignment w:val="baseline"/>
        <w:outlineLvl w:val="9"/>
        <w:rPr>
          <w:rFonts w:hint="eastAsia" w:ascii="仿宋_GB2312" w:hAnsi="仿宋_GB2312" w:eastAsia="仿宋_GB2312" w:cs="仿宋_GB2312"/>
          <w:b w:val="0"/>
          <w:bCs w:val="0"/>
          <w:spacing w:val="7"/>
          <w:sz w:val="28"/>
          <w:szCs w:val="28"/>
          <w:lang w:val="en-US" w:eastAsia="zh-CN"/>
        </w:rPr>
      </w:pPr>
      <w:r>
        <w:rPr>
          <w:rFonts w:hint="eastAsia" w:ascii="仿宋_GB2312" w:hAnsi="仿宋_GB2312" w:eastAsia="仿宋_GB2312" w:cs="仿宋_GB2312"/>
          <w:spacing w:val="8"/>
          <w:sz w:val="28"/>
          <w:szCs w:val="28"/>
        </w:rPr>
        <w:t>数字化校园建设学校有线网及无线网覆盖全校，无线网络为联通公司和移动公司共建共享，全校覆盖。共建校园5G双域网络，开展5G融合业务。学校网络主干达10G，实现双冗余互备；能满足视频会议及网络直播需要</w:t>
      </w:r>
      <w:r>
        <w:rPr>
          <w:rFonts w:hint="eastAsia" w:ascii="仿宋_GB2312" w:hAnsi="仿宋_GB2312" w:eastAsia="仿宋_GB2312" w:cs="仿宋_GB2312"/>
          <w:spacing w:val="8"/>
          <w:sz w:val="28"/>
          <w:szCs w:val="28"/>
          <w:lang w:eastAsia="zh-CN"/>
        </w:rPr>
        <w:t>。</w:t>
      </w:r>
    </w:p>
    <w:p w14:paraId="59BE1E37">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828" w:name="_Toc28445"/>
      <w:bookmarkStart w:id="829" w:name="_Toc21193"/>
      <w:bookmarkStart w:id="830" w:name="_Toc3967"/>
      <w:bookmarkStart w:id="831" w:name="_Toc22473"/>
      <w:bookmarkStart w:id="832" w:name="_Toc5546"/>
      <w:bookmarkStart w:id="833" w:name="_Toc20786"/>
      <w:bookmarkStart w:id="834" w:name="_Toc6896"/>
      <w:bookmarkStart w:id="835" w:name="_Toc3079"/>
      <w:bookmarkStart w:id="836" w:name="_Toc12955"/>
      <w:bookmarkStart w:id="837" w:name="_Toc32517"/>
      <w:r>
        <w:rPr>
          <w:rFonts w:hint="eastAsia" w:ascii="楷体_GB2312" w:hAnsi="楷体_GB2312" w:eastAsia="楷体_GB2312" w:cs="楷体_GB2312"/>
          <w:b/>
          <w:bCs/>
          <w:spacing w:val="5"/>
          <w:sz w:val="28"/>
          <w:szCs w:val="28"/>
          <w:lang w:val="en-US" w:eastAsia="zh-CN"/>
        </w:rPr>
        <w:t>7.4专业动态调整</w:t>
      </w:r>
      <w:bookmarkEnd w:id="828"/>
      <w:bookmarkEnd w:id="829"/>
      <w:bookmarkEnd w:id="830"/>
      <w:bookmarkEnd w:id="831"/>
      <w:bookmarkEnd w:id="832"/>
      <w:bookmarkEnd w:id="833"/>
      <w:bookmarkEnd w:id="834"/>
      <w:bookmarkEnd w:id="835"/>
      <w:bookmarkEnd w:id="836"/>
      <w:bookmarkEnd w:id="837"/>
    </w:p>
    <w:p w14:paraId="20A48FBB">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8" w:firstLineChars="200"/>
        <w:textAlignment w:val="baseline"/>
        <w:outlineLvl w:val="9"/>
        <w:rPr>
          <w:rFonts w:hint="eastAsia" w:ascii="仿宋" w:hAnsi="仿宋" w:eastAsia="仿宋" w:cs="仿宋"/>
          <w:b w:val="0"/>
          <w:bCs w:val="0"/>
          <w:spacing w:val="7"/>
          <w:sz w:val="28"/>
          <w:szCs w:val="28"/>
        </w:rPr>
      </w:pPr>
      <w:bookmarkStart w:id="838" w:name="bookmark39"/>
      <w:bookmarkEnd w:id="838"/>
      <w:bookmarkStart w:id="839" w:name="_Toc1997"/>
      <w:r>
        <w:rPr>
          <w:rFonts w:hint="eastAsia" w:ascii="仿宋" w:hAnsi="仿宋" w:eastAsia="仿宋" w:cs="仿宋"/>
          <w:b w:val="0"/>
          <w:bCs w:val="0"/>
          <w:spacing w:val="7"/>
          <w:sz w:val="28"/>
          <w:szCs w:val="28"/>
        </w:rPr>
        <w:t>着重专业建设，推动科学发展。学校构建并完备人才需求与专业设置的动态调适机制。各专业均组建专业建设委员会，成员涵盖行业企业专家与本校骨干教师。经广泛调研，依据调研成果及学校专业建设规划，制定各专业建设规划与年度发展建设实施规划，并于每年末开展专业建设总结。</w:t>
      </w:r>
      <w:bookmarkEnd w:id="839"/>
    </w:p>
    <w:p w14:paraId="3EEB2F93">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8" w:firstLineChars="200"/>
        <w:textAlignment w:val="baseline"/>
        <w:outlineLvl w:val="9"/>
        <w:rPr>
          <w:rFonts w:hint="eastAsia" w:ascii="仿宋" w:hAnsi="仿宋" w:eastAsia="仿宋" w:cs="仿宋"/>
          <w:b w:val="0"/>
          <w:bCs w:val="0"/>
          <w:spacing w:val="7"/>
          <w:sz w:val="28"/>
          <w:szCs w:val="28"/>
        </w:rPr>
      </w:pPr>
      <w:bookmarkStart w:id="840" w:name="_Toc16227"/>
      <w:r>
        <w:rPr>
          <w:rFonts w:hint="eastAsia" w:ascii="仿宋" w:hAnsi="仿宋" w:eastAsia="仿宋" w:cs="仿宋"/>
          <w:b w:val="0"/>
          <w:bCs w:val="0"/>
          <w:spacing w:val="7"/>
          <w:sz w:val="28"/>
          <w:szCs w:val="28"/>
        </w:rPr>
        <w:t>秉持教育与产业、学校与企业、专业设置与职业岗位对接原则实施专业动态调整，积极顺应区域产业结构优化升级态势，聚力打造面向本地关键产业、优势产业及战略性新兴产业的品牌专业。</w:t>
      </w:r>
      <w:bookmarkEnd w:id="840"/>
    </w:p>
    <w:p w14:paraId="41FE434A">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841" w:name="_Toc32469"/>
      <w:bookmarkStart w:id="842" w:name="_Toc20436"/>
      <w:bookmarkStart w:id="843" w:name="_Toc20957"/>
      <w:bookmarkStart w:id="844" w:name="_Toc11521"/>
      <w:bookmarkStart w:id="845" w:name="_Toc21227"/>
      <w:bookmarkStart w:id="846" w:name="_Toc3651"/>
      <w:bookmarkStart w:id="847" w:name="_Toc24206"/>
      <w:bookmarkStart w:id="848" w:name="_Toc12558"/>
      <w:bookmarkStart w:id="849" w:name="_Toc1197"/>
      <w:bookmarkStart w:id="850" w:name="_Toc17072"/>
      <w:r>
        <w:rPr>
          <w:rFonts w:hint="eastAsia" w:ascii="楷体_GB2312" w:hAnsi="楷体_GB2312" w:eastAsia="楷体_GB2312" w:cs="楷体_GB2312"/>
          <w:b/>
          <w:bCs/>
          <w:spacing w:val="5"/>
          <w:sz w:val="28"/>
          <w:szCs w:val="28"/>
          <w:lang w:val="en-US" w:eastAsia="zh-CN"/>
        </w:rPr>
        <w:t>7.5优化教学改革，推动内涵发展</w:t>
      </w:r>
      <w:bookmarkEnd w:id="841"/>
      <w:bookmarkEnd w:id="842"/>
      <w:bookmarkEnd w:id="843"/>
      <w:bookmarkEnd w:id="844"/>
      <w:bookmarkEnd w:id="845"/>
      <w:bookmarkEnd w:id="846"/>
      <w:bookmarkEnd w:id="847"/>
      <w:bookmarkEnd w:id="848"/>
      <w:bookmarkEnd w:id="849"/>
      <w:bookmarkEnd w:id="850"/>
    </w:p>
    <w:p w14:paraId="49E968BA">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92" w:firstLineChars="200"/>
        <w:jc w:val="both"/>
        <w:textAlignment w:val="baseline"/>
        <w:rPr>
          <w:rFonts w:hint="eastAsia" w:ascii="仿宋" w:hAnsi="仿宋" w:eastAsia="仿宋" w:cs="仿宋"/>
          <w:spacing w:val="8"/>
          <w:sz w:val="28"/>
          <w:szCs w:val="28"/>
        </w:rPr>
      </w:pPr>
      <w:r>
        <w:rPr>
          <w:rFonts w:hint="eastAsia" w:ascii="仿宋" w:hAnsi="仿宋" w:eastAsia="仿宋" w:cs="仿宋"/>
          <w:spacing w:val="8"/>
          <w:sz w:val="28"/>
          <w:szCs w:val="28"/>
        </w:rPr>
        <w:t>学校精心制定实施性人才培养方案，并定期进行滚动修订。参考国家与省指导性方案及调研成果，构建起以能力为核心、职业实践为脉络、项目课程为主体的模块化专业课程架构。科学界定公共基础课与专业技能课的学时占比，依据行业发展动态适时调整，且遵循严格审批流程，规范选用教材。</w:t>
      </w:r>
    </w:p>
    <w:p w14:paraId="65315EC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92" w:firstLineChars="200"/>
        <w:textAlignment w:val="baseline"/>
        <w:outlineLvl w:val="9"/>
        <w:rPr>
          <w:rFonts w:hint="eastAsia" w:ascii="仿宋" w:hAnsi="仿宋" w:eastAsia="仿宋" w:cs="仿宋"/>
          <w:spacing w:val="8"/>
          <w:sz w:val="28"/>
          <w:szCs w:val="28"/>
          <w:lang w:eastAsia="zh-CN"/>
        </w:rPr>
      </w:pPr>
      <w:bookmarkStart w:id="851" w:name="_Toc17333"/>
      <w:r>
        <w:rPr>
          <w:rFonts w:hint="eastAsia" w:ascii="仿宋" w:hAnsi="仿宋" w:eastAsia="仿宋" w:cs="仿宋"/>
          <w:spacing w:val="8"/>
          <w:sz w:val="28"/>
          <w:szCs w:val="28"/>
        </w:rPr>
        <w:t>学校全力推进专业建设工作，持续提高专业建设水准。主干专业达成教学与实训有机融合，将学生职业道德、职业精神的培育与技术技能训练紧密结合，实现协同发展。</w:t>
      </w:r>
      <w:bookmarkEnd w:id="851"/>
      <w:bookmarkStart w:id="852" w:name="bookmark41"/>
      <w:bookmarkEnd w:id="852"/>
    </w:p>
    <w:p w14:paraId="24A83AB7">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853" w:name="_Toc30337"/>
      <w:bookmarkStart w:id="854" w:name="_Toc12552"/>
      <w:bookmarkStart w:id="855" w:name="_Toc2371"/>
      <w:bookmarkStart w:id="856" w:name="_Toc13358"/>
      <w:bookmarkStart w:id="857" w:name="_Toc29840"/>
      <w:bookmarkStart w:id="858" w:name="_Toc16275"/>
      <w:bookmarkStart w:id="859" w:name="_Toc11315"/>
      <w:bookmarkStart w:id="860" w:name="_Toc17249"/>
      <w:bookmarkStart w:id="861" w:name="_Toc28238"/>
      <w:bookmarkStart w:id="862" w:name="_Toc17876"/>
      <w:r>
        <w:rPr>
          <w:rFonts w:hint="eastAsia" w:ascii="楷体_GB2312" w:hAnsi="楷体_GB2312" w:eastAsia="楷体_GB2312" w:cs="楷体_GB2312"/>
          <w:b/>
          <w:bCs/>
          <w:spacing w:val="5"/>
          <w:sz w:val="28"/>
          <w:szCs w:val="28"/>
          <w:lang w:val="en-US" w:eastAsia="zh-CN"/>
        </w:rPr>
        <w:t>7.6教师培养培训</w:t>
      </w:r>
      <w:bookmarkEnd w:id="853"/>
      <w:bookmarkEnd w:id="854"/>
      <w:bookmarkEnd w:id="855"/>
      <w:bookmarkEnd w:id="856"/>
      <w:bookmarkEnd w:id="857"/>
      <w:bookmarkEnd w:id="858"/>
      <w:bookmarkEnd w:id="859"/>
      <w:bookmarkEnd w:id="860"/>
      <w:bookmarkEnd w:id="861"/>
      <w:bookmarkEnd w:id="862"/>
    </w:p>
    <w:p w14:paraId="320FFB29">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0" w:firstLineChars="200"/>
        <w:jc w:val="both"/>
        <w:textAlignment w:val="baseline"/>
        <w:rPr>
          <w:rFonts w:hint="eastAsia" w:ascii="仿宋" w:hAnsi="仿宋" w:eastAsia="仿宋" w:cs="仿宋"/>
          <w:spacing w:val="5"/>
          <w:sz w:val="28"/>
          <w:szCs w:val="28"/>
          <w:lang w:eastAsia="zh-CN"/>
        </w:rPr>
      </w:pPr>
      <w:r>
        <w:rPr>
          <w:rFonts w:hint="eastAsia" w:ascii="仿宋" w:hAnsi="仿宋" w:eastAsia="仿宋" w:cs="仿宋"/>
          <w:spacing w:val="5"/>
          <w:sz w:val="28"/>
          <w:szCs w:val="28"/>
        </w:rPr>
        <w:t>学校持续推进名师及团队建设工程，充分彰显名师在学科教学、科研领域的引领作用，以及对青年教师的指导、示范与培育效能。每学期，学校精心组织教学基本功竞赛；每年，盛大举办教学开放周活动。活动中，全面展示教学工作流程管理、教学规范落实以及内涵发展成效，有力提升自我诊断与自主发展能力，促进校内交流互鉴，向全体师生呈现教学硕果。借此契机，强化专业建设力度，深化教学改革深度，提升管理精细度，提高教育品质，紧密贴合经济社会与学生发展需求，为现代化建设输送高质量技术技能人才。</w:t>
      </w:r>
    </w:p>
    <w:p w14:paraId="54849788">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863" w:name="bookmark43"/>
      <w:bookmarkEnd w:id="863"/>
      <w:bookmarkStart w:id="864" w:name="_Toc165"/>
      <w:bookmarkStart w:id="865" w:name="_Toc22403"/>
      <w:bookmarkStart w:id="866" w:name="_Toc5122"/>
      <w:bookmarkStart w:id="867" w:name="_Toc18075"/>
      <w:bookmarkStart w:id="868" w:name="_Toc26293"/>
      <w:bookmarkStart w:id="869" w:name="_Toc10242"/>
      <w:bookmarkStart w:id="870" w:name="_Toc8652"/>
      <w:bookmarkStart w:id="871" w:name="_Toc21096"/>
      <w:bookmarkStart w:id="872" w:name="_Toc13408"/>
      <w:bookmarkStart w:id="873" w:name="_Toc20295"/>
      <w:r>
        <w:rPr>
          <w:rFonts w:hint="eastAsia" w:ascii="楷体_GB2312" w:hAnsi="楷体_GB2312" w:eastAsia="楷体_GB2312" w:cs="楷体_GB2312"/>
          <w:b/>
          <w:bCs/>
          <w:spacing w:val="5"/>
          <w:sz w:val="28"/>
          <w:szCs w:val="28"/>
          <w:lang w:val="en-US" w:eastAsia="zh-CN"/>
        </w:rPr>
        <w:t>7.7</w:t>
      </w:r>
      <w:bookmarkStart w:id="874" w:name="bookmark116"/>
      <w:bookmarkEnd w:id="874"/>
      <w:bookmarkStart w:id="875" w:name="bookmark45"/>
      <w:bookmarkEnd w:id="875"/>
      <w:r>
        <w:rPr>
          <w:rFonts w:hint="eastAsia" w:ascii="楷体_GB2312" w:hAnsi="楷体_GB2312" w:eastAsia="楷体_GB2312" w:cs="楷体_GB2312"/>
          <w:b/>
          <w:bCs/>
          <w:spacing w:val="5"/>
          <w:sz w:val="28"/>
          <w:szCs w:val="28"/>
          <w:lang w:val="en-US" w:eastAsia="zh-CN"/>
        </w:rPr>
        <w:t>人才培养</w:t>
      </w:r>
      <w:bookmarkEnd w:id="864"/>
      <w:bookmarkEnd w:id="865"/>
      <w:bookmarkEnd w:id="866"/>
      <w:bookmarkEnd w:id="867"/>
      <w:bookmarkEnd w:id="868"/>
      <w:bookmarkEnd w:id="869"/>
      <w:bookmarkEnd w:id="870"/>
      <w:bookmarkEnd w:id="871"/>
      <w:bookmarkEnd w:id="872"/>
      <w:bookmarkEnd w:id="873"/>
    </w:p>
    <w:p w14:paraId="2159F0D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4" w:firstLineChars="200"/>
        <w:textAlignment w:val="baseline"/>
        <w:rPr>
          <w:rFonts w:hint="eastAsia" w:ascii="仿宋" w:hAnsi="仿宋" w:eastAsia="仿宋" w:cs="仿宋"/>
          <w:spacing w:val="6"/>
          <w:sz w:val="28"/>
          <w:szCs w:val="28"/>
        </w:rPr>
      </w:pPr>
      <w:r>
        <w:rPr>
          <w:rFonts w:hint="eastAsia" w:ascii="仿宋" w:hAnsi="仿宋" w:eastAsia="仿宋" w:cs="仿宋"/>
          <w:spacing w:val="6"/>
          <w:sz w:val="28"/>
          <w:szCs w:val="28"/>
        </w:rPr>
        <w:t>学校于人才培育领域贡献卓越，向社会输送了众多实用型高技能人才，有力推动了经济社会的蓬勃发展。</w:t>
      </w:r>
    </w:p>
    <w:p w14:paraId="0567940D">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4" w:firstLineChars="200"/>
        <w:textAlignment w:val="baseline"/>
        <w:rPr>
          <w:rFonts w:hint="eastAsia" w:ascii="仿宋" w:hAnsi="仿宋" w:eastAsia="仿宋" w:cs="仿宋"/>
          <w:spacing w:val="6"/>
          <w:sz w:val="28"/>
          <w:szCs w:val="28"/>
        </w:rPr>
      </w:pPr>
      <w:r>
        <w:rPr>
          <w:rFonts w:hint="eastAsia" w:ascii="仿宋" w:hAnsi="仿宋" w:eastAsia="仿宋" w:cs="仿宋"/>
          <w:spacing w:val="6"/>
          <w:sz w:val="28"/>
          <w:szCs w:val="28"/>
        </w:rPr>
        <w:t>在技能人才培养上，学校锚定职业技能培育目标，借助系统课程编排与实训演练，使学生掌握特定职业的必备技能与知识，增强其于就业市场的竞争实力。</w:t>
      </w:r>
    </w:p>
    <w:p w14:paraId="63CE6CC0">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4" w:firstLineChars="200"/>
        <w:textAlignment w:val="baseline"/>
        <w:rPr>
          <w:rFonts w:hint="eastAsia" w:ascii="仿宋" w:hAnsi="仿宋" w:eastAsia="仿宋" w:cs="仿宋"/>
          <w:spacing w:val="6"/>
          <w:sz w:val="28"/>
          <w:szCs w:val="28"/>
          <w:lang w:eastAsia="zh-CN"/>
        </w:rPr>
      </w:pPr>
      <w:r>
        <w:rPr>
          <w:rFonts w:hint="eastAsia" w:ascii="仿宋" w:hAnsi="仿宋" w:eastAsia="仿宋" w:cs="仿宋"/>
          <w:spacing w:val="6"/>
          <w:sz w:val="28"/>
          <w:szCs w:val="28"/>
        </w:rPr>
        <w:t>为提升教育质量，学校在教育教学进程中侧重实践与技能训练，通过打造校内外实训基地、构建双师型教师队伍等途径，优化教学成效，全方位提升学生的综合素养与就业竞争力。</w:t>
      </w:r>
    </w:p>
    <w:p w14:paraId="60953D5E">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84" w:firstLineChars="200"/>
        <w:textAlignment w:val="baseline"/>
        <w:rPr>
          <w:rFonts w:hint="eastAsia" w:ascii="仿宋" w:hAnsi="仿宋" w:eastAsia="仿宋" w:cs="仿宋"/>
          <w:spacing w:val="6"/>
          <w:sz w:val="28"/>
          <w:szCs w:val="28"/>
        </w:rPr>
      </w:pPr>
      <w:r>
        <w:rPr>
          <w:rFonts w:hint="eastAsia" w:ascii="仿宋" w:hAnsi="仿宋" w:eastAsia="仿宋" w:cs="仿宋"/>
          <w:spacing w:val="6"/>
          <w:sz w:val="28"/>
          <w:szCs w:val="28"/>
        </w:rPr>
        <w:t>近年来，国家体育强国战略稳步推进，对运动训练领域的重视程度不断攀升。一系列政策文件相继出台，为运动训练专业的发展指明方向。例如，《关于深化体教融合促进青少年健康发展的意见》着重强调要加强学校体育工作，完善青少年体育赛事体系，拓宽体育人才成长渠道，这无疑为运动训练专业人才的培养与输送提供了坚实的政策支撑。</w:t>
      </w:r>
    </w:p>
    <w:p w14:paraId="266B7F41">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outlineLvl w:val="0"/>
        <w:rPr>
          <w:rFonts w:hint="eastAsia"/>
        </w:rPr>
      </w:pPr>
      <w:bookmarkStart w:id="876" w:name="_Toc8354"/>
      <w:bookmarkStart w:id="877" w:name="_Toc11046"/>
      <w:bookmarkStart w:id="878" w:name="_Toc14961"/>
      <w:bookmarkStart w:id="879" w:name="_Toc187"/>
      <w:bookmarkStart w:id="880" w:name="_Toc4276"/>
      <w:bookmarkStart w:id="881" w:name="_Toc21919"/>
      <w:bookmarkStart w:id="882" w:name="_Toc4965"/>
      <w:bookmarkStart w:id="883" w:name="_Toc32494"/>
      <w:bookmarkStart w:id="884" w:name="_Toc4240"/>
      <w:r>
        <w:rPr>
          <w:rFonts w:hint="eastAsia" w:ascii="仿宋_GB2312" w:hAnsi="仿宋_GB2312" w:eastAsia="仿宋_GB2312" w:cs="仿宋_GB2312"/>
          <w:sz w:val="24"/>
          <w:szCs w:val="24"/>
        </w:rPr>
        <w:t>【案例</w:t>
      </w:r>
      <w:r>
        <w:rPr>
          <w:rFonts w:hint="eastAsia" w:ascii="仿宋_GB2312" w:hAnsi="仿宋_GB2312" w:eastAsia="仿宋_GB2312" w:cs="仿宋_GB2312"/>
          <w:sz w:val="24"/>
          <w:szCs w:val="24"/>
          <w:lang w:val="en-US" w:eastAsia="zh-CN"/>
        </w:rPr>
        <w:t>13</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响应国家号召，助力体育事业发展</w:t>
      </w:r>
      <w:bookmarkEnd w:id="876"/>
      <w:bookmarkEnd w:id="877"/>
      <w:bookmarkEnd w:id="878"/>
      <w:bookmarkEnd w:id="879"/>
      <w:bookmarkEnd w:id="880"/>
      <w:bookmarkEnd w:id="881"/>
      <w:bookmarkEnd w:id="882"/>
      <w:bookmarkEnd w:id="883"/>
      <w:bookmarkEnd w:id="884"/>
    </w:p>
    <w:p w14:paraId="6E1B9A58">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r>
        <w:rPr>
          <w:rFonts w:hint="eastAsia" w:ascii="楷体_GB2312" w:hAnsi="楷体_GB2312" w:eastAsia="楷体_GB2312" w:cs="楷体_GB2312"/>
          <w:sz w:val="24"/>
          <w:szCs w:val="24"/>
          <w:lang w:val="en-US" w:eastAsia="en-US"/>
        </w:rPr>
        <w:t>中职院校运动训练专业的学生虽可能在文化课程学习方面存在不足，但他们在体育专项领域却有着独特的天赋与潜力。许多学生在某一运动项目上展现出极高的运动天赋，具备较强的身体协调性、爆发力或耐力等。学校充分认识到学生的这些优势，积极搭建平台以激发学生的学习热情与潜能。例如，定期举办校内体育技能挑战赛，涵盖各类运动项目，让学生在比赛中相互切磋、相互学习，充分发挥自身特长，增强自信心与竞争意识。同时，学校还开设了丰富多样的综合素质提升课程，如运动康复与保健、体育赛事解说等，拓宽学生的知识面与职业技能范畴，全方位提升学生的综合素质，使他们能够在未来的体育职业生涯中更好地适应不同岗位需求，为我国体育事业的繁荣发展贡献力量。</w:t>
      </w:r>
    </w:p>
    <w:p w14:paraId="25E53D62">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lang w:eastAsia="zh-CN"/>
        </w:rPr>
      </w:pPr>
      <w:r>
        <w:rPr>
          <w:rFonts w:hint="eastAsia" w:ascii="楷体_GB2312" w:hAnsi="楷体_GB2312" w:eastAsia="楷体_GB2312" w:cs="楷体_GB2312"/>
          <w:sz w:val="24"/>
          <w:szCs w:val="24"/>
        </w:rPr>
        <w:t>响应国家号召，学校秉持培养契合社会需求的运动训练专业人才之目标，助力体育事业发展。伴随全民健身理念的深入人心，体育事业蓬勃兴起，运动训练人才的需求日益增长。社会亟需具备专业运动技能与素养的训练人才。</w:t>
      </w:r>
    </w:p>
    <w:p w14:paraId="79B5D1F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firstLineChars="200"/>
        <w:jc w:val="center"/>
        <w:textAlignment w:val="baseline"/>
        <w:rPr>
          <w:sz w:val="28"/>
          <w:szCs w:val="28"/>
        </w:rPr>
      </w:pPr>
      <w:r>
        <w:drawing>
          <wp:inline distT="0" distB="0" distL="114300" distR="114300">
            <wp:extent cx="5039995" cy="2860675"/>
            <wp:effectExtent l="0" t="0" r="8255"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7"/>
                    <a:stretch>
                      <a:fillRect/>
                    </a:stretch>
                  </pic:blipFill>
                  <pic:spPr>
                    <a:xfrm>
                      <a:off x="0" y="0"/>
                      <a:ext cx="5039995" cy="2860675"/>
                    </a:xfrm>
                    <a:prstGeom prst="rect">
                      <a:avLst/>
                    </a:prstGeom>
                    <a:noFill/>
                    <a:ln>
                      <a:noFill/>
                    </a:ln>
                  </pic:spPr>
                </pic:pic>
              </a:graphicData>
            </a:graphic>
          </wp:inline>
        </w:drawing>
      </w:r>
    </w:p>
    <w:p w14:paraId="65E7B9E3">
      <w:pPr>
        <w:pStyle w:val="4"/>
        <w:keepNext w:val="0"/>
        <w:keepLines w:val="0"/>
        <w:pageBreakBefore w:val="0"/>
        <w:widowControl/>
        <w:kinsoku w:val="0"/>
        <w:wordWrap/>
        <w:overflowPunct/>
        <w:topLinePunct w:val="0"/>
        <w:autoSpaceDE w:val="0"/>
        <w:autoSpaceDN w:val="0"/>
        <w:bidi w:val="0"/>
        <w:adjustRightInd w:val="0"/>
        <w:snapToGrid w:val="0"/>
        <w:spacing w:before="0" w:beforeAutospacing="0" w:afterAutospacing="0" w:line="360" w:lineRule="auto"/>
        <w:jc w:val="center"/>
        <w:textAlignment w:val="baseline"/>
        <w:rPr>
          <w:rFonts w:hint="eastAsia" w:ascii="黑体" w:hAnsi="黑体" w:eastAsia="黑体" w:cs="黑体"/>
          <w:b w:val="0"/>
          <w:bCs w:val="0"/>
          <w:sz w:val="21"/>
          <w:szCs w:val="21"/>
          <w:lang w:eastAsia="zh-CN"/>
        </w:rPr>
      </w:pPr>
      <w:bookmarkStart w:id="885" w:name="bookmark97"/>
      <w:bookmarkEnd w:id="885"/>
      <w:bookmarkStart w:id="886" w:name="_Toc5188"/>
      <w:bookmarkStart w:id="887" w:name="_Toc12528"/>
      <w:bookmarkStart w:id="888" w:name="_Toc7979"/>
      <w:bookmarkStart w:id="889" w:name="_Toc20501"/>
      <w:bookmarkStart w:id="890" w:name="_Toc27085"/>
      <w:bookmarkStart w:id="891" w:name="_Toc22378"/>
      <w:r>
        <w:rPr>
          <w:rFonts w:hint="eastAsia" w:ascii="黑体" w:hAnsi="黑体" w:eastAsia="黑体" w:cs="黑体"/>
          <w:b w:val="0"/>
          <w:bCs w:val="0"/>
          <w:sz w:val="21"/>
          <w:szCs w:val="21"/>
          <w:lang w:eastAsia="zh-CN"/>
        </w:rPr>
        <w:t>图</w:t>
      </w:r>
      <w:r>
        <w:rPr>
          <w:rFonts w:hint="eastAsia" w:ascii="黑体" w:hAnsi="黑体" w:eastAsia="黑体" w:cs="黑体"/>
          <w:b w:val="0"/>
          <w:bCs w:val="0"/>
          <w:sz w:val="21"/>
          <w:szCs w:val="21"/>
          <w:lang w:val="en-US" w:eastAsia="zh-CN"/>
        </w:rPr>
        <w:t>7-1运动训练</w:t>
      </w:r>
      <w:bookmarkEnd w:id="886"/>
      <w:bookmarkEnd w:id="887"/>
      <w:bookmarkEnd w:id="888"/>
      <w:bookmarkEnd w:id="889"/>
      <w:bookmarkEnd w:id="890"/>
      <w:bookmarkEnd w:id="891"/>
    </w:p>
    <w:p w14:paraId="509E03DF">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80" w:firstLineChars="200"/>
        <w:textAlignment w:val="baseline"/>
        <w:rPr>
          <w:rFonts w:hint="eastAsia" w:ascii="楷体_GB2312" w:hAnsi="楷体_GB2312" w:eastAsia="楷体_GB2312" w:cs="楷体_GB2312"/>
          <w:sz w:val="24"/>
          <w:szCs w:val="24"/>
        </w:rPr>
      </w:pPr>
      <w:bookmarkStart w:id="892" w:name="_Toc2976"/>
      <w:r>
        <w:rPr>
          <w:rFonts w:hint="eastAsia" w:ascii="楷体_GB2312" w:hAnsi="楷体_GB2312" w:eastAsia="楷体_GB2312" w:cs="楷体_GB2312"/>
          <w:sz w:val="24"/>
          <w:szCs w:val="24"/>
        </w:rPr>
        <w:t>中职院校以培育技能型人才为办学宗旨，运动训练专业有别于传统学科教育。运动训练着重于提升学生专项运动能力，旨在塑造运动员卓越的竞技水平与体育精神，诸如通过高强度的体能训练、精准的技术动作打磨以及科学的战术策略制定等方式。而其他学科教育多聚焦于理论知识的传授。尽管部分高职与师范类院校亦设有体育相关专业，但其课程偏重于理论架构，当下运动训练领域的实践主力仍多为中职运动训练专业的学生。他们在各类基层体育赛事组织、青少年体育培训等方面发挥着不可或缺的作用，为体育事业注入源源不断的活力与动力。</w:t>
      </w:r>
    </w:p>
    <w:bookmarkEnd w:id="892"/>
    <w:p w14:paraId="711C93C8">
      <w:pPr>
        <w:keepNext w:val="0"/>
        <w:keepLines w:val="0"/>
        <w:pageBreakBefore w:val="0"/>
        <w:widowControl/>
        <w:kinsoku w:val="0"/>
        <w:wordWrap/>
        <w:overflowPunct/>
        <w:topLinePunct w:val="0"/>
        <w:autoSpaceDE w:val="0"/>
        <w:autoSpaceDN w:val="0"/>
        <w:bidi w:val="0"/>
        <w:adjustRightInd w:val="0"/>
        <w:snapToGrid w:val="0"/>
        <w:spacing w:before="0" w:beforeLines="100" w:beforeAutospacing="0" w:after="0" w:afterLines="100" w:afterAutospacing="0" w:line="360" w:lineRule="auto"/>
        <w:ind w:left="641"/>
        <w:textAlignment w:val="baseline"/>
        <w:outlineLvl w:val="0"/>
        <w:rPr>
          <w:rFonts w:hint="eastAsia" w:ascii="黑体" w:hAnsi="黑体" w:eastAsia="黑体" w:cs="黑体"/>
          <w:sz w:val="32"/>
          <w:szCs w:val="32"/>
        </w:rPr>
      </w:pPr>
      <w:bookmarkStart w:id="893" w:name="bookmark47"/>
      <w:bookmarkEnd w:id="893"/>
      <w:bookmarkStart w:id="894" w:name="_Toc11696"/>
      <w:bookmarkStart w:id="895" w:name="_Toc21107"/>
      <w:bookmarkStart w:id="896" w:name="_Toc28092"/>
      <w:bookmarkStart w:id="897" w:name="_Toc7168"/>
      <w:bookmarkStart w:id="898" w:name="_Toc29575"/>
      <w:bookmarkStart w:id="899" w:name="_Toc4945"/>
      <w:bookmarkStart w:id="900" w:name="_Toc21902"/>
      <w:bookmarkStart w:id="901" w:name="_Toc29387"/>
      <w:bookmarkStart w:id="902" w:name="_Toc29207"/>
      <w:bookmarkStart w:id="903" w:name="_Toc3686"/>
      <w:r>
        <w:rPr>
          <w:rFonts w:hint="eastAsia" w:ascii="黑体" w:hAnsi="黑体" w:eastAsia="黑体" w:cs="黑体"/>
          <w:b/>
          <w:bCs/>
          <w:spacing w:val="-2"/>
          <w:sz w:val="32"/>
          <w:szCs w:val="32"/>
        </w:rPr>
        <w:t>8挑战与展望</w:t>
      </w:r>
      <w:bookmarkEnd w:id="894"/>
      <w:bookmarkEnd w:id="895"/>
      <w:bookmarkEnd w:id="896"/>
      <w:bookmarkEnd w:id="897"/>
      <w:bookmarkEnd w:id="898"/>
      <w:bookmarkEnd w:id="899"/>
      <w:bookmarkEnd w:id="900"/>
      <w:bookmarkEnd w:id="901"/>
      <w:bookmarkEnd w:id="902"/>
      <w:bookmarkEnd w:id="903"/>
    </w:p>
    <w:p w14:paraId="71F5759B">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bookmarkStart w:id="904" w:name="bookmark63"/>
      <w:bookmarkEnd w:id="904"/>
      <w:r>
        <w:rPr>
          <w:rFonts w:hint="eastAsia" w:ascii="仿宋" w:hAnsi="仿宋" w:eastAsia="仿宋" w:cs="仿宋"/>
          <w:spacing w:val="12"/>
          <w:sz w:val="28"/>
          <w:szCs w:val="28"/>
        </w:rPr>
        <w:t>在当今教育格局不断变革与发展的进程中，机遇与挑战始终如影随形。学校于布局调整之际，综合考量外因与内因，面临着诸多亟待解决的困难。</w:t>
      </w:r>
    </w:p>
    <w:p w14:paraId="331E874B">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其一，办学条件薄弱的现状依然严峻。此次布局调整虽旨在化解职业教育资源分散以及中等职业学校办学条件普遍欠佳的困境，然而，土地、校舍等资源因其专用性和难以迁移的特性，致使调整后的中职学校仍深陷各类办学资源难以同步补充的泥沼。例如，部分学校教学设施陈旧落后，实训设备匮乏且更新滞后，难以满足现代职业教育对实践教学的高要求；校园空间局促，限制了学校进一步拓展教学与实训场地，阻碍了学校规模的扩大与功能的完善。</w:t>
      </w:r>
    </w:p>
    <w:p w14:paraId="36628620">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其二，中职学校在教育体系中的关注度相对不足。不可否认，中职学校已获得一定程度的重视，但相较于同属职业教育体系的高职而言，仍有较大的提升空间。政府对高职的投入力度往往更大，这主要归因于高职的基础办学指标高于中职，使得高职在招生吸引力、资源获取等方面更具优势。高职学生相对成熟，在就业市场初期表现出更强的竞争力，这也间接导致中职学校在招生与社会认可度方面面临较大压力。在这种对比之下，中职学校在发展规划、资源争取等方面举棋不定，心有余而力不足，成为制约其发展的关键瓶颈。</w:t>
      </w:r>
    </w:p>
    <w:p w14:paraId="5FE17384">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面对上述困境，学校积极探索应对之策，多维度推进改革与发展举措。</w:t>
      </w:r>
    </w:p>
    <w:p w14:paraId="2D19260E">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905" w:name="_Toc13103"/>
      <w:bookmarkStart w:id="906" w:name="_Toc32074"/>
      <w:bookmarkStart w:id="907" w:name="_Toc12250"/>
      <w:bookmarkStart w:id="908" w:name="_Toc14818"/>
      <w:bookmarkStart w:id="909" w:name="_Toc21695"/>
      <w:bookmarkStart w:id="910" w:name="_Toc14356"/>
      <w:bookmarkStart w:id="911" w:name="_Toc10866"/>
      <w:bookmarkStart w:id="912" w:name="_Toc28976"/>
      <w:bookmarkStart w:id="913" w:name="_Toc22859"/>
      <w:bookmarkStart w:id="914" w:name="_Toc10772"/>
      <w:bookmarkStart w:id="915" w:name="_Toc13125"/>
      <w:r>
        <w:rPr>
          <w:rFonts w:hint="eastAsia" w:ascii="楷体_GB2312" w:hAnsi="楷体_GB2312" w:eastAsia="楷体_GB2312" w:cs="楷体_GB2312"/>
          <w:b/>
          <w:bCs/>
          <w:spacing w:val="5"/>
          <w:sz w:val="28"/>
          <w:szCs w:val="28"/>
          <w:lang w:val="en-US" w:eastAsia="zh-CN"/>
        </w:rPr>
        <w:t>8.1师资队伍建设强化工程</w:t>
      </w:r>
      <w:bookmarkEnd w:id="905"/>
      <w:bookmarkEnd w:id="906"/>
      <w:bookmarkEnd w:id="907"/>
      <w:bookmarkEnd w:id="908"/>
      <w:bookmarkEnd w:id="909"/>
      <w:bookmarkEnd w:id="910"/>
      <w:bookmarkEnd w:id="911"/>
      <w:bookmarkEnd w:id="912"/>
      <w:bookmarkEnd w:id="913"/>
      <w:bookmarkEnd w:id="914"/>
      <w:bookmarkEnd w:id="915"/>
    </w:p>
    <w:p w14:paraId="6F9A7B6A">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依据</w:t>
      </w:r>
      <w:r>
        <w:rPr>
          <w:rFonts w:hint="eastAsia" w:ascii="仿宋" w:hAnsi="仿宋" w:eastAsia="仿宋" w:cs="仿宋"/>
          <w:spacing w:val="12"/>
          <w:sz w:val="28"/>
          <w:szCs w:val="28"/>
          <w:lang w:eastAsia="zh-CN"/>
        </w:rPr>
        <w:t>2025</w:t>
      </w:r>
      <w:r>
        <w:rPr>
          <w:rFonts w:hint="eastAsia" w:ascii="仿宋" w:hAnsi="仿宋" w:eastAsia="仿宋" w:cs="仿宋"/>
          <w:spacing w:val="12"/>
          <w:sz w:val="28"/>
          <w:szCs w:val="28"/>
        </w:rPr>
        <w:t>年教育部关于全国中等职业学校标准化建设标准以及《河南省中等职业学校标准化建设工程验收标准》，当前学校师资队伍在学历及职称结构等方面存在显著差距。部分专业教师短缺现象严重，且教师学历层次有待提升，具有高职称的教师占比不足。师资队伍建设关乎学校的长远发展与兴衰成败，为此，学校多管齐下，大力加强师资队伍建设。一方面，积极与人事和教育主管部门沟通协调，争取政策支持，加大人才引进力度，重点引进高学历、高技能的专业课和实训课教师，充实教师队伍力量，优化师资结构；另一方面，强化师资培训体系建设，定期组织教师参加各类专业技能培训、教育教学理念更新培训以及企业实践锻炼活动，鼓励教师不断提升自身业务能力，积极构建一支教育理念新颖、业务精湛、相对稳定的“双师型”教师队伍。同时，加快名优教师培养步伐，通过设立名师工作室、开展骨干教师评选等活动，充分发挥骨干教师、名优教师在教学研究、课程改革、专业建设等方面的示范引领作用，带动全体教师共同成长进步。</w:t>
      </w:r>
    </w:p>
    <w:p w14:paraId="5EF3CEEA">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916" w:name="_Toc10830"/>
      <w:bookmarkStart w:id="917" w:name="_Toc4897"/>
      <w:bookmarkStart w:id="918" w:name="_Toc355"/>
      <w:bookmarkStart w:id="919" w:name="_Toc14428"/>
      <w:bookmarkStart w:id="920" w:name="_Toc30589"/>
      <w:bookmarkStart w:id="921" w:name="_Toc12179"/>
      <w:bookmarkStart w:id="922" w:name="_Toc24900"/>
      <w:bookmarkStart w:id="923" w:name="_Toc16946"/>
      <w:bookmarkStart w:id="924" w:name="_Toc32138"/>
      <w:bookmarkStart w:id="925" w:name="_Toc1601"/>
      <w:bookmarkStart w:id="926" w:name="_Toc24410"/>
      <w:r>
        <w:rPr>
          <w:rFonts w:hint="eastAsia" w:ascii="楷体_GB2312" w:hAnsi="楷体_GB2312" w:eastAsia="楷体_GB2312" w:cs="楷体_GB2312"/>
          <w:b/>
          <w:bCs/>
          <w:spacing w:val="5"/>
          <w:sz w:val="28"/>
          <w:szCs w:val="28"/>
          <w:lang w:val="en-US" w:eastAsia="zh-CN"/>
        </w:rPr>
        <w:t>8.2党建工作全面提升</w:t>
      </w:r>
      <w:bookmarkEnd w:id="916"/>
      <w:bookmarkEnd w:id="917"/>
      <w:bookmarkEnd w:id="918"/>
      <w:bookmarkEnd w:id="919"/>
      <w:bookmarkEnd w:id="920"/>
      <w:bookmarkEnd w:id="921"/>
      <w:bookmarkEnd w:id="922"/>
      <w:bookmarkEnd w:id="923"/>
      <w:bookmarkEnd w:id="924"/>
      <w:bookmarkEnd w:id="925"/>
      <w:bookmarkEnd w:id="926"/>
    </w:p>
    <w:p w14:paraId="12D004BA">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学校深刻认识到党建工作在引领学校发展中的核心地位，进一步完善并加强党建工作。在党风廉政建设方面，建立健全廉政风险防控机制，加强对学校重点领域、关键环节的监督与管理，确保学校各项工作在廉洁公正的环境中开展。加强党员和教师队伍建设，将党的思想政治教育与教育教学工作深度融合，围绕立德树人根本任务，提升办学水平。积极推动党员教师在教学一线发挥先锋模范作用，通过开展党员示范岗、党员公开课等活动，激励党员教师在教学改革、专业建设、学生管理等方面勇于担当作为。按照组织发展要求，大力发展入党积极分子，尤其注重吸收学校中高层领导干部积极入党，充实党员队伍力量，提升党组织的凝聚力与战斗力。进一步建立健全坚持立德树人、德技并修的育人机制，推动思想政治教育与技术技能培养有机融合统一；坚持产教融合、校企合作的办学模式，积极探索与企业共建党组织、开展党建共建活动等新路径，推动形成产教良性互动、校企优势互补的发展格局；坚持面向市场、促进就业的办学导向，确保学校布局、专业设置、人才培养与市场需求紧密对接，为学校的可持续发展提供坚强的政治和组织保障。</w:t>
      </w:r>
    </w:p>
    <w:p w14:paraId="2A64E526">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927" w:name="_Toc22035"/>
      <w:bookmarkStart w:id="928" w:name="_Toc19679"/>
      <w:bookmarkStart w:id="929" w:name="_Toc24487"/>
      <w:bookmarkStart w:id="930" w:name="_Toc17850"/>
      <w:bookmarkStart w:id="931" w:name="_Toc17113"/>
      <w:bookmarkStart w:id="932" w:name="_Toc2667"/>
      <w:bookmarkStart w:id="933" w:name="_Toc23406"/>
      <w:bookmarkStart w:id="934" w:name="_Toc7495"/>
      <w:bookmarkStart w:id="935" w:name="_Toc31482"/>
      <w:bookmarkStart w:id="936" w:name="_Toc11342"/>
      <w:bookmarkStart w:id="937" w:name="_Toc18775"/>
      <w:r>
        <w:rPr>
          <w:rFonts w:hint="eastAsia" w:ascii="楷体_GB2312" w:hAnsi="楷体_GB2312" w:eastAsia="楷体_GB2312" w:cs="楷体_GB2312"/>
          <w:b/>
          <w:bCs/>
          <w:spacing w:val="5"/>
          <w:sz w:val="28"/>
          <w:szCs w:val="28"/>
          <w:lang w:val="en-US" w:eastAsia="zh-CN"/>
        </w:rPr>
        <w:t>8.3教学规范管理精细化</w:t>
      </w:r>
      <w:bookmarkEnd w:id="927"/>
      <w:bookmarkEnd w:id="928"/>
      <w:bookmarkEnd w:id="929"/>
      <w:bookmarkEnd w:id="930"/>
      <w:bookmarkEnd w:id="931"/>
      <w:bookmarkEnd w:id="932"/>
      <w:bookmarkEnd w:id="933"/>
      <w:bookmarkEnd w:id="934"/>
      <w:bookmarkEnd w:id="935"/>
      <w:bookmarkEnd w:id="936"/>
      <w:bookmarkEnd w:id="937"/>
    </w:p>
    <w:p w14:paraId="26AB4298">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为深入落实“三教改革”，优化队伍结构，提升教师专业水平和教学能力，学校着力构建完善的教学运行机制和教学监督机制。组织教师深入学习教育部《中等职业学校专业教学标准》，依据部颁教学指导方案科学组织教学活动。各专业结合自身特点与市场需求，制定详细的实施性教学计划，严格按照国家和省、市规定的课程方案和课程计划开展教学活动，确保开齐课程、开足课时。建立健全教学质量保障体系，进一步完善了《课堂教学效果评价方案》《学生课堂学习基本行为规范》《学生违反课堂学习基本行为规范处理办法》《教师课堂教学规范和事故认定》等一系列制度。通过定期组织综合性教学质量检查，包括教案检查、课堂教学观摩、学生学业评价等环节，提高全体教师对教学质量的重视程度，加强教学过程管理，明确教学规范要求。从教学常规入手，切实提高教学质量和水平，例如，规范教师备课环节，要求教师结合企业实际案例编写教案，使教学内容更具实用性与针对性；加强课堂教学管理，鼓励教师采用多样化教学方法激发学生学习兴趣，提高课堂参与度；完善学生学业评价体系，注重过程性评价与终结性评价相结合，全面客观地评价学生学习成果。</w:t>
      </w:r>
    </w:p>
    <w:p w14:paraId="4DD4BB79">
      <w:pPr>
        <w:keepNext w:val="0"/>
        <w:keepLines w:val="0"/>
        <w:pageBreakBefore w:val="0"/>
        <w:widowControl/>
        <w:kinsoku w:val="0"/>
        <w:wordWrap/>
        <w:overflowPunct/>
        <w:topLinePunct w:val="0"/>
        <w:autoSpaceDE w:val="0"/>
        <w:autoSpaceDN w:val="0"/>
        <w:bidi w:val="0"/>
        <w:adjustRightInd w:val="0"/>
        <w:snapToGrid w:val="0"/>
        <w:spacing w:before="0" w:beforeLines="50" w:beforeAutospacing="0" w:after="0" w:afterLines="50" w:afterAutospacing="0" w:line="360" w:lineRule="auto"/>
        <w:ind w:left="0" w:leftChars="0" w:right="0" w:firstLine="582" w:firstLineChars="200"/>
        <w:textAlignment w:val="baseline"/>
        <w:outlineLvl w:val="1"/>
        <w:rPr>
          <w:rFonts w:hint="eastAsia" w:ascii="楷体_GB2312" w:hAnsi="楷体_GB2312" w:eastAsia="楷体_GB2312" w:cs="楷体_GB2312"/>
          <w:b/>
          <w:bCs/>
          <w:spacing w:val="5"/>
          <w:sz w:val="28"/>
          <w:szCs w:val="28"/>
          <w:lang w:val="en-US" w:eastAsia="zh-CN"/>
        </w:rPr>
      </w:pPr>
      <w:bookmarkStart w:id="938" w:name="_Toc21459"/>
      <w:bookmarkStart w:id="939" w:name="_Toc6209"/>
      <w:bookmarkStart w:id="940" w:name="_Toc27070"/>
      <w:bookmarkStart w:id="941" w:name="_Toc14965"/>
      <w:bookmarkStart w:id="942" w:name="_Toc11517"/>
      <w:bookmarkStart w:id="943" w:name="_Toc32120"/>
      <w:bookmarkStart w:id="944" w:name="_Toc24328"/>
      <w:bookmarkStart w:id="945" w:name="_Toc16025"/>
      <w:bookmarkStart w:id="946" w:name="_Toc29213"/>
      <w:bookmarkStart w:id="947" w:name="_Toc11022"/>
      <w:bookmarkStart w:id="948" w:name="_Toc9781"/>
      <w:r>
        <w:rPr>
          <w:rFonts w:hint="eastAsia" w:ascii="楷体_GB2312" w:hAnsi="楷体_GB2312" w:eastAsia="楷体_GB2312" w:cs="楷体_GB2312"/>
          <w:b/>
          <w:bCs/>
          <w:spacing w:val="5"/>
          <w:sz w:val="28"/>
          <w:szCs w:val="28"/>
          <w:lang w:val="en-US" w:eastAsia="zh-CN"/>
        </w:rPr>
        <w:t>8.4特色课程体系构建与专业集群建设协同推进</w:t>
      </w:r>
      <w:bookmarkEnd w:id="938"/>
      <w:bookmarkEnd w:id="939"/>
      <w:bookmarkEnd w:id="940"/>
      <w:bookmarkEnd w:id="941"/>
      <w:bookmarkEnd w:id="942"/>
      <w:bookmarkEnd w:id="943"/>
      <w:bookmarkEnd w:id="944"/>
      <w:bookmarkEnd w:id="945"/>
      <w:bookmarkEnd w:id="946"/>
      <w:bookmarkEnd w:id="947"/>
      <w:bookmarkEnd w:id="948"/>
    </w:p>
    <w:p w14:paraId="044B0148">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学校积极响应市场需求与产业发展趋势，构建特色课程体系。在深入调研产业、企业需求以及职业能力需求的基础上，精准确定各专业职业能力和通用职业能力要求。与合作企业紧密合作，共同制定机械加工技术、计算机应用等重点专业的人才培养方案。遵循“必需”和“够用”原则，打破传统学科体系束缚，基于工作过程构建课程体系，打造与“工学结合、校企合作、顶岗实习”人才培养模式相适应的特色课程。</w:t>
      </w:r>
    </w:p>
    <w:p w14:paraId="21EB2CF0">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ascii="仿宋" w:hAnsi="仿宋" w:eastAsia="仿宋" w:cs="仿宋"/>
          <w:spacing w:val="12"/>
          <w:sz w:val="28"/>
          <w:szCs w:val="28"/>
        </w:rPr>
      </w:pPr>
      <w:r>
        <w:rPr>
          <w:rFonts w:hint="eastAsia" w:ascii="仿宋" w:hAnsi="仿宋" w:eastAsia="仿宋" w:cs="仿宋"/>
          <w:spacing w:val="12"/>
          <w:sz w:val="28"/>
          <w:szCs w:val="28"/>
        </w:rPr>
        <w:t>同时，学校注重专业集群建设，初步形成了以计算机应用为主干的机电设备制造特色专业集群，以及以</w:t>
      </w:r>
      <w:r>
        <w:rPr>
          <w:rFonts w:hint="eastAsia" w:ascii="仿宋" w:hAnsi="仿宋" w:eastAsia="仿宋" w:cs="仿宋"/>
          <w:spacing w:val="12"/>
          <w:sz w:val="28"/>
          <w:szCs w:val="28"/>
          <w:lang w:val="en-US" w:eastAsia="zh-CN"/>
        </w:rPr>
        <w:t>运动训练</w:t>
      </w:r>
      <w:r>
        <w:rPr>
          <w:rFonts w:hint="eastAsia" w:ascii="仿宋" w:hAnsi="仿宋" w:eastAsia="仿宋" w:cs="仿宋"/>
          <w:spacing w:val="12"/>
          <w:sz w:val="28"/>
          <w:szCs w:val="28"/>
        </w:rPr>
        <w:t>、</w:t>
      </w:r>
      <w:r>
        <w:rPr>
          <w:rFonts w:hint="eastAsia" w:ascii="仿宋" w:hAnsi="仿宋" w:eastAsia="仿宋" w:cs="仿宋"/>
          <w:spacing w:val="12"/>
          <w:sz w:val="28"/>
          <w:szCs w:val="28"/>
          <w:lang w:val="en-US" w:eastAsia="zh-CN"/>
        </w:rPr>
        <w:t>安全救援、</w:t>
      </w:r>
      <w:r>
        <w:rPr>
          <w:rFonts w:hint="eastAsia" w:ascii="仿宋" w:hAnsi="仿宋" w:eastAsia="仿宋" w:cs="仿宋"/>
          <w:spacing w:val="12"/>
          <w:sz w:val="28"/>
          <w:szCs w:val="28"/>
        </w:rPr>
        <w:t>电子商务为侧翼的品牌特色专业集群。在课程建设过程中，秉持“实际、实用”原则，联合学校教师与企业工程技术人员、管理人员、能工巧匠组成调研组，深入企业一线了解生产流程、工艺技术、企业文化等内容，并将其编写成校本教材。这些校本教材紧密结合地方企业实际需求，融入了大量企业案例与实践经验，有效增强了毕业生的岗位适应能力和岗位迁移能力。</w:t>
      </w:r>
    </w:p>
    <w:p w14:paraId="3C01BDFC">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608" w:firstLineChars="200"/>
        <w:textAlignment w:val="baseline"/>
        <w:rPr>
          <w:rFonts w:hint="eastAsia" w:eastAsia="仿宋"/>
          <w:sz w:val="28"/>
          <w:szCs w:val="28"/>
          <w:lang w:eastAsia="zh-CN"/>
        </w:rPr>
      </w:pPr>
      <w:r>
        <w:rPr>
          <w:rFonts w:hint="eastAsia" w:ascii="仿宋" w:hAnsi="仿宋" w:eastAsia="仿宋" w:cs="仿宋"/>
          <w:spacing w:val="12"/>
          <w:sz w:val="28"/>
          <w:szCs w:val="28"/>
        </w:rPr>
        <w:t>展望未来，学校将继续深入贯彻实施上级传达的各项政策精神，以特色专业建设为核心，持续提升职业教育质量。深刻领会国务院办公厅印发的《关于推动现代职业教育高质量发展的意见》内涵，坚定不移地推进育人方式、办学模式、管理体制、保障机制改革，切实增强职业教育适应性，加快构建现代职业教育体系。全体教师将坚守教书育人初心，牢记“办社会欢迎职业教育，建人民满意职业学校”使命，团结协作、敬业奉献，悉心培育技能型人才，为地方职业教育实现跨越式高质量发展贡献全部力量。</w:t>
      </w:r>
    </w:p>
    <w:p w14:paraId="68D566C7">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textAlignment w:val="baseline"/>
        <w:rPr>
          <w:sz w:val="28"/>
          <w:szCs w:val="28"/>
        </w:rPr>
      </w:pPr>
    </w:p>
    <w:p w14:paraId="5100850E">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60" w:firstLineChars="200"/>
        <w:textAlignment w:val="baseline"/>
        <w:rPr>
          <w:sz w:val="28"/>
          <w:szCs w:val="28"/>
        </w:rPr>
      </w:pPr>
    </w:p>
    <w:p w14:paraId="632A941C">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92" w:firstLineChars="200"/>
        <w:jc w:val="right"/>
        <w:textAlignment w:val="baseline"/>
        <w:rPr>
          <w:rFonts w:ascii="仿宋" w:hAnsi="仿宋" w:eastAsia="仿宋" w:cs="仿宋"/>
          <w:spacing w:val="8"/>
          <w:sz w:val="28"/>
          <w:szCs w:val="28"/>
        </w:rPr>
      </w:pPr>
      <w:r>
        <w:rPr>
          <w:rFonts w:ascii="仿宋" w:hAnsi="仿宋" w:eastAsia="仿宋" w:cs="仿宋"/>
          <w:spacing w:val="8"/>
          <w:sz w:val="28"/>
          <w:szCs w:val="28"/>
        </w:rPr>
        <w:t>郑州青年职业中等专业学校</w:t>
      </w:r>
    </w:p>
    <w:p w14:paraId="5C5199B6">
      <w:pPr>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532" w:firstLineChars="200"/>
        <w:jc w:val="center"/>
        <w:textAlignment w:val="baseline"/>
        <w:rPr>
          <w:rFonts w:hint="default" w:eastAsia="宋体"/>
          <w:sz w:val="28"/>
          <w:szCs w:val="28"/>
          <w:lang w:val="en-US" w:eastAsia="zh-CN"/>
        </w:rPr>
        <w:sectPr>
          <w:footerReference r:id="rId10" w:type="default"/>
          <w:pgSz w:w="11906" w:h="16839"/>
          <w:pgMar w:top="1431" w:right="1785" w:bottom="1154" w:left="1785" w:header="0" w:footer="978" w:gutter="0"/>
          <w:pgNumType w:fmt="decimal"/>
          <w:cols w:space="720" w:num="1"/>
        </w:sectPr>
      </w:pPr>
      <w:r>
        <w:rPr>
          <w:rFonts w:hint="eastAsia" w:ascii="仿宋" w:hAnsi="仿宋" w:eastAsia="仿宋" w:cs="仿宋"/>
          <w:spacing w:val="-7"/>
          <w:sz w:val="28"/>
          <w:szCs w:val="28"/>
          <w:lang w:val="en-US" w:eastAsia="zh-CN"/>
        </w:rPr>
        <w:t xml:space="preserve">                                 </w:t>
      </w:r>
      <w:r>
        <w:rPr>
          <w:rFonts w:hint="eastAsia" w:ascii="仿宋" w:hAnsi="仿宋" w:eastAsia="仿宋" w:cs="仿宋"/>
          <w:spacing w:val="-7"/>
          <w:sz w:val="28"/>
          <w:szCs w:val="28"/>
          <w:lang w:eastAsia="zh-CN"/>
        </w:rPr>
        <w:t>202</w:t>
      </w:r>
      <w:r>
        <w:rPr>
          <w:rFonts w:hint="eastAsia" w:ascii="仿宋" w:hAnsi="仿宋" w:eastAsia="仿宋" w:cs="仿宋"/>
          <w:spacing w:val="-7"/>
          <w:sz w:val="28"/>
          <w:szCs w:val="28"/>
          <w:lang w:val="en-US" w:eastAsia="zh-CN"/>
        </w:rPr>
        <w:t>5</w:t>
      </w:r>
      <w:r>
        <w:rPr>
          <w:rFonts w:ascii="仿宋" w:hAnsi="仿宋" w:eastAsia="仿宋" w:cs="仿宋"/>
          <w:spacing w:val="-7"/>
          <w:sz w:val="28"/>
          <w:szCs w:val="28"/>
        </w:rPr>
        <w:t>年</w:t>
      </w:r>
      <w:r>
        <w:rPr>
          <w:sz w:val="28"/>
          <w:szCs w:val="28"/>
        </w:rPr>
        <w:drawing>
          <wp:anchor distT="0" distB="0" distL="0" distR="0" simplePos="0" relativeHeight="251659264" behindDoc="0" locked="0" layoutInCell="1" allowOverlap="1">
            <wp:simplePos x="0" y="0"/>
            <wp:positionH relativeFrom="column">
              <wp:posOffset>0</wp:posOffset>
            </wp:positionH>
            <wp:positionV relativeFrom="paragraph">
              <wp:posOffset>113665</wp:posOffset>
            </wp:positionV>
            <wp:extent cx="25400" cy="3302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8"/>
                    <a:stretch>
                      <a:fillRect/>
                    </a:stretch>
                  </pic:blipFill>
                  <pic:spPr>
                    <a:xfrm>
                      <a:off x="0" y="0"/>
                      <a:ext cx="25400" cy="32791"/>
                    </a:xfrm>
                    <a:prstGeom prst="rect">
                      <a:avLst/>
                    </a:prstGeom>
                  </pic:spPr>
                </pic:pic>
              </a:graphicData>
            </a:graphic>
          </wp:anchor>
        </w:drawing>
      </w:r>
      <w:r>
        <w:rPr>
          <w:rFonts w:hint="eastAsia" w:ascii="仿宋" w:hAnsi="仿宋" w:eastAsia="仿宋" w:cs="仿宋"/>
          <w:spacing w:val="-7"/>
          <w:sz w:val="28"/>
          <w:szCs w:val="28"/>
          <w:lang w:val="en-US" w:eastAsia="zh-CN"/>
        </w:rPr>
        <w:t>12月6日</w:t>
      </w:r>
    </w:p>
    <w:p w14:paraId="5DEA5774">
      <w:pPr>
        <w:keepNext w:val="0"/>
        <w:keepLines w:val="0"/>
        <w:pageBreakBefore w:val="0"/>
        <w:widowControl/>
        <w:kinsoku w:val="0"/>
        <w:wordWrap/>
        <w:overflowPunct/>
        <w:topLinePunct w:val="0"/>
        <w:autoSpaceDE w:val="0"/>
        <w:autoSpaceDN w:val="0"/>
        <w:bidi w:val="0"/>
        <w:adjustRightInd w:val="0"/>
        <w:snapToGrid w:val="0"/>
        <w:spacing w:beforeAutospacing="0" w:afterAutospacing="0" w:line="240" w:lineRule="auto"/>
        <w:ind w:right="0"/>
        <w:textAlignment w:val="baseline"/>
        <w:rPr>
          <w:rFonts w:hint="eastAsia"/>
          <w:sz w:val="28"/>
          <w:szCs w:val="28"/>
          <w:lang w:val="en-US" w:eastAsia="zh-CN"/>
        </w:rPr>
      </w:pPr>
    </w:p>
    <w:sectPr>
      <w:footerReference r:id="rId11" w:type="default"/>
      <w:pgSz w:w="11906" w:h="16839"/>
      <w:pgMar w:top="1431" w:right="1785" w:bottom="400" w:left="178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aiTi_GB2312">
    <w:altName w:val="楷体"/>
    <w:panose1 w:val="00000000000000000000"/>
    <w:charset w:val="00"/>
    <w:family w:val="auto"/>
    <w:pitch w:val="default"/>
    <w:sig w:usb0="00000000" w:usb1="00000000" w:usb2="00000000" w:usb3="00000000" w:csb0="00000000" w:csb1="00000000"/>
  </w:font>
  <w:font w:name="FangSong_GB2312">
    <w:altName w:val="仿宋_GB2312"/>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DC500">
    <w:pPr>
      <w:spacing w:line="170" w:lineRule="auto"/>
      <w:ind w:left="4142"/>
      <w:rPr>
        <w:rFonts w:ascii="仿宋" w:hAnsi="仿宋" w:eastAsia="仿宋" w:cs="仿宋"/>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FF7D2">
    <w:pPr>
      <w:spacing w:line="168" w:lineRule="auto"/>
      <w:ind w:left="4241"/>
      <w:rPr>
        <w:rFonts w:ascii="仿宋" w:hAnsi="仿宋" w:eastAsia="仿宋" w:cs="仿宋"/>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8AE2B">
                          <w:pPr>
                            <w:pStyle w:val="8"/>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2978AE2B">
                    <w:pPr>
                      <w:pStyle w:val="8"/>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38F95">
    <w:pPr>
      <w:spacing w:line="169" w:lineRule="auto"/>
      <w:rPr>
        <w:rFonts w:ascii="仿宋" w:hAnsi="仿宋" w:eastAsia="仿宋" w:cs="仿宋"/>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A816FE">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65A816FE">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566FC">
    <w:pPr>
      <w:spacing w:line="168" w:lineRule="auto"/>
      <w:ind w:left="4240"/>
      <w:rPr>
        <w:rFonts w:ascii="仿宋" w:hAnsi="仿宋" w:eastAsia="仿宋" w:cs="仿宋"/>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6EA3A">
                          <w:pPr>
                            <w:pStyle w:val="8"/>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0D46EA3A">
                    <w:pPr>
                      <w:pStyle w:val="8"/>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33C4B8">
    <w:pPr>
      <w:spacing w:line="170" w:lineRule="auto"/>
      <w:ind w:left="4087"/>
      <w:rPr>
        <w:rFonts w:ascii="仿宋" w:hAnsi="仿宋" w:eastAsia="仿宋" w:cs="仿宋"/>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posOffset>2661920</wp:posOffset>
              </wp:positionH>
              <wp:positionV relativeFrom="paragraph">
                <wp:posOffset>0</wp:posOffset>
              </wp:positionV>
              <wp:extent cx="23749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374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91E45">
                          <w:pPr>
                            <w:pStyle w:val="8"/>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9.6pt;margin-top:0pt;height:144pt;width:18.7pt;mso-position-horizontal-relative:margin;z-index:251664384;mso-width-relative:page;mso-height-relative:page;" filled="f" stroked="f" coordsize="21600,21600" o:gfxdata="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G81PtYAAAAIAQAADwAAAAAAAAABACAAAAAiAAAAZHJzL2Rvd25y&#10;ZXYueG1sUEsBAhQAFAAAAAgAh07iQNLe5GA5AgAAZAQAAA4AAAAAAAAAAQAgAAAAJQEAAGRycy9l&#10;Mm9Eb2MueG1sUEsFBgAAAAAGAAYAWQEAANAFAAAAAA==&#10;">
              <v:fill on="f" focussize="0,0"/>
              <v:stroke on="f" weight="0.5pt"/>
              <v:imagedata o:title=""/>
              <o:lock v:ext="edit" aspectratio="f"/>
              <v:textbox inset="0mm,0mm,0mm,0mm" style="mso-fit-shape-to-text:t;">
                <w:txbxContent>
                  <w:p w14:paraId="79391E45">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2B5E7">
    <w:pPr>
      <w:spacing w:line="169" w:lineRule="auto"/>
      <w:ind w:left="4197"/>
      <w:rPr>
        <w:rFonts w:ascii="仿宋" w:hAnsi="仿宋" w:eastAsia="仿宋" w:cs="仿宋"/>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1D8FB">
                          <w:pPr>
                            <w:pStyle w:val="8"/>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3C01D8FB">
                    <w:pPr>
                      <w:pStyle w:val="8"/>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10C4F">
    <w:pPr>
      <w:pStyle w:val="6"/>
      <w:spacing w:line="14" w:lineRule="auto"/>
      <w:rPr>
        <w:sz w:val="2"/>
      </w:rPr>
    </w:pPr>
    <w:r>
      <w:rPr>
        <w:sz w:val="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08B2D">
                          <w:pPr>
                            <w:pStyle w:val="8"/>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14:paraId="11D08B2D">
                    <w:pPr>
                      <w:pStyle w:val="8"/>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F705B3"/>
    <w:rsid w:val="01024408"/>
    <w:rsid w:val="018F4C90"/>
    <w:rsid w:val="020A44B4"/>
    <w:rsid w:val="022A226F"/>
    <w:rsid w:val="02F83440"/>
    <w:rsid w:val="03E273F4"/>
    <w:rsid w:val="03ED02FB"/>
    <w:rsid w:val="05A0136F"/>
    <w:rsid w:val="069114AA"/>
    <w:rsid w:val="06965778"/>
    <w:rsid w:val="071874D5"/>
    <w:rsid w:val="076831CC"/>
    <w:rsid w:val="076E1FAD"/>
    <w:rsid w:val="07E23D6B"/>
    <w:rsid w:val="07EF46DA"/>
    <w:rsid w:val="09303B09"/>
    <w:rsid w:val="097B2A05"/>
    <w:rsid w:val="0A3D797F"/>
    <w:rsid w:val="0BEF2BAB"/>
    <w:rsid w:val="0CB54C1F"/>
    <w:rsid w:val="0D0C6F6D"/>
    <w:rsid w:val="0D287011"/>
    <w:rsid w:val="0D737713"/>
    <w:rsid w:val="0E912047"/>
    <w:rsid w:val="0F6C5018"/>
    <w:rsid w:val="0FB22973"/>
    <w:rsid w:val="11347F05"/>
    <w:rsid w:val="13454FFE"/>
    <w:rsid w:val="14173D6E"/>
    <w:rsid w:val="15837CCA"/>
    <w:rsid w:val="16611A92"/>
    <w:rsid w:val="17085953"/>
    <w:rsid w:val="178A758F"/>
    <w:rsid w:val="17CC2A8C"/>
    <w:rsid w:val="183B1D52"/>
    <w:rsid w:val="18890233"/>
    <w:rsid w:val="19F65A51"/>
    <w:rsid w:val="1ABE2E2C"/>
    <w:rsid w:val="1B1E631A"/>
    <w:rsid w:val="1B656D35"/>
    <w:rsid w:val="1BCC7A07"/>
    <w:rsid w:val="1C024584"/>
    <w:rsid w:val="1CA94A00"/>
    <w:rsid w:val="1CE541F1"/>
    <w:rsid w:val="1D1C78C7"/>
    <w:rsid w:val="1EC62597"/>
    <w:rsid w:val="20F73983"/>
    <w:rsid w:val="210B2262"/>
    <w:rsid w:val="2151307D"/>
    <w:rsid w:val="22873A35"/>
    <w:rsid w:val="232F444A"/>
    <w:rsid w:val="239A1F85"/>
    <w:rsid w:val="24060309"/>
    <w:rsid w:val="24965AB8"/>
    <w:rsid w:val="250255F5"/>
    <w:rsid w:val="25B272E5"/>
    <w:rsid w:val="26E87D5C"/>
    <w:rsid w:val="28CA467C"/>
    <w:rsid w:val="28D0778C"/>
    <w:rsid w:val="292F0982"/>
    <w:rsid w:val="2BA56C8E"/>
    <w:rsid w:val="2BEC66B7"/>
    <w:rsid w:val="2BFB107C"/>
    <w:rsid w:val="2E314855"/>
    <w:rsid w:val="2E36630F"/>
    <w:rsid w:val="2E804F80"/>
    <w:rsid w:val="30685B5B"/>
    <w:rsid w:val="32D47B73"/>
    <w:rsid w:val="33242BDA"/>
    <w:rsid w:val="335F75FB"/>
    <w:rsid w:val="33C5487F"/>
    <w:rsid w:val="344A041F"/>
    <w:rsid w:val="349A493C"/>
    <w:rsid w:val="34F479B8"/>
    <w:rsid w:val="38170F5F"/>
    <w:rsid w:val="3A940645"/>
    <w:rsid w:val="3AA13EDF"/>
    <w:rsid w:val="3AA50AA5"/>
    <w:rsid w:val="3C083949"/>
    <w:rsid w:val="3C357FBB"/>
    <w:rsid w:val="3C4165AB"/>
    <w:rsid w:val="3CCD4071"/>
    <w:rsid w:val="3DBA2038"/>
    <w:rsid w:val="3DBD6389"/>
    <w:rsid w:val="3DC50017"/>
    <w:rsid w:val="3DC55AAA"/>
    <w:rsid w:val="3E090AF9"/>
    <w:rsid w:val="3E183D77"/>
    <w:rsid w:val="3E60015F"/>
    <w:rsid w:val="3F0062A9"/>
    <w:rsid w:val="3FA07A8C"/>
    <w:rsid w:val="3FA33433"/>
    <w:rsid w:val="405F511F"/>
    <w:rsid w:val="409F1AF2"/>
    <w:rsid w:val="417C4D58"/>
    <w:rsid w:val="418920C4"/>
    <w:rsid w:val="424B6F64"/>
    <w:rsid w:val="42FE166F"/>
    <w:rsid w:val="43D47E0A"/>
    <w:rsid w:val="43EF0599"/>
    <w:rsid w:val="44593EB2"/>
    <w:rsid w:val="46873960"/>
    <w:rsid w:val="46BC33FE"/>
    <w:rsid w:val="49215514"/>
    <w:rsid w:val="4A7465C4"/>
    <w:rsid w:val="4AB12016"/>
    <w:rsid w:val="4AC92843"/>
    <w:rsid w:val="4AD80C0A"/>
    <w:rsid w:val="4B2B2900"/>
    <w:rsid w:val="4B4A6DC5"/>
    <w:rsid w:val="4BF47058"/>
    <w:rsid w:val="4C2504A9"/>
    <w:rsid w:val="4C2C627D"/>
    <w:rsid w:val="4C2F6834"/>
    <w:rsid w:val="4CD27DB5"/>
    <w:rsid w:val="4DBC2BD3"/>
    <w:rsid w:val="4E162898"/>
    <w:rsid w:val="4E930A9F"/>
    <w:rsid w:val="50125E3D"/>
    <w:rsid w:val="50692255"/>
    <w:rsid w:val="50E91754"/>
    <w:rsid w:val="51FB0B52"/>
    <w:rsid w:val="521409E5"/>
    <w:rsid w:val="546C28B0"/>
    <w:rsid w:val="547D4BC4"/>
    <w:rsid w:val="54AD1A9C"/>
    <w:rsid w:val="55322ADD"/>
    <w:rsid w:val="553C0CF3"/>
    <w:rsid w:val="57511821"/>
    <w:rsid w:val="57F22117"/>
    <w:rsid w:val="582F21E1"/>
    <w:rsid w:val="593257A1"/>
    <w:rsid w:val="594B651A"/>
    <w:rsid w:val="59D142C3"/>
    <w:rsid w:val="5A244887"/>
    <w:rsid w:val="5E4C10B3"/>
    <w:rsid w:val="5E9255A5"/>
    <w:rsid w:val="646F4603"/>
    <w:rsid w:val="654A5A9D"/>
    <w:rsid w:val="671B645D"/>
    <w:rsid w:val="678E6299"/>
    <w:rsid w:val="67F86D15"/>
    <w:rsid w:val="68BE6EC9"/>
    <w:rsid w:val="695054C0"/>
    <w:rsid w:val="6AF9611F"/>
    <w:rsid w:val="6BCC7390"/>
    <w:rsid w:val="6BDF5315"/>
    <w:rsid w:val="6D716441"/>
    <w:rsid w:val="6DC20A4A"/>
    <w:rsid w:val="6E0C6169"/>
    <w:rsid w:val="6E0E5A3E"/>
    <w:rsid w:val="6E9D0476"/>
    <w:rsid w:val="6F025567"/>
    <w:rsid w:val="6F40512E"/>
    <w:rsid w:val="6F5F465D"/>
    <w:rsid w:val="6F7C5426"/>
    <w:rsid w:val="6F7F7A61"/>
    <w:rsid w:val="6FA36908"/>
    <w:rsid w:val="703B1077"/>
    <w:rsid w:val="70613E0B"/>
    <w:rsid w:val="706B4DE0"/>
    <w:rsid w:val="710E0C37"/>
    <w:rsid w:val="71813839"/>
    <w:rsid w:val="72CB3BDF"/>
    <w:rsid w:val="73CF2113"/>
    <w:rsid w:val="74E9116A"/>
    <w:rsid w:val="75B74481"/>
    <w:rsid w:val="762A76FD"/>
    <w:rsid w:val="77E97F88"/>
    <w:rsid w:val="782C4E85"/>
    <w:rsid w:val="792743E7"/>
    <w:rsid w:val="7A7E738E"/>
    <w:rsid w:val="7B441380"/>
    <w:rsid w:val="7BEE7C1D"/>
    <w:rsid w:val="7E0E036F"/>
    <w:rsid w:val="7E671302"/>
    <w:rsid w:val="7EF95174"/>
    <w:rsid w:val="7EFB2DA4"/>
    <w:rsid w:val="7F9B25D3"/>
    <w:rsid w:val="7FDC586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link w:val="24"/>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0"/>
    <w:rPr>
      <w:rFonts w:ascii="Arial" w:hAnsi="Arial" w:eastAsia="Arial" w:cs="Arial"/>
      <w:sz w:val="21"/>
      <w:szCs w:val="21"/>
      <w:lang w:val="en-US" w:eastAsia="en-US" w:bidi="ar-SA"/>
    </w:rPr>
  </w:style>
  <w:style w:type="paragraph" w:styleId="7">
    <w:name w:val="toc 3"/>
    <w:basedOn w:val="1"/>
    <w:next w:val="1"/>
    <w:qFormat/>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Hyperlink"/>
    <w:basedOn w:val="13"/>
    <w:qFormat/>
    <w:uiPriority w:val="0"/>
    <w:rPr>
      <w:color w:val="0000FF"/>
      <w:u w:val="single"/>
    </w:rPr>
  </w:style>
  <w:style w:type="paragraph" w:customStyle="1" w:styleId="17">
    <w:name w:val="图目录111"/>
    <w:basedOn w:val="1"/>
    <w:qFormat/>
    <w:uiPriority w:val="0"/>
    <w:pPr>
      <w:spacing w:line="360" w:lineRule="auto"/>
      <w:ind w:firstLine="420" w:firstLineChars="200"/>
    </w:pPr>
    <w:rPr>
      <w:rFonts w:ascii="仿宋" w:hAnsi="仿宋" w:eastAsia="仿宋" w:cs="仿宋"/>
      <w:snapToGrid w:val="0"/>
      <w:color w:val="000000"/>
      <w:kern w:val="0"/>
      <w:szCs w:val="35"/>
      <w:lang w:eastAsia="en-US"/>
    </w:rPr>
  </w:style>
  <w:style w:type="paragraph" w:customStyle="1" w:styleId="18">
    <w:name w:val="标题4"/>
    <w:basedOn w:val="1"/>
    <w:next w:val="1"/>
    <w:qFormat/>
    <w:uiPriority w:val="0"/>
    <w:pPr>
      <w:keepNext/>
      <w:keepLines/>
      <w:spacing w:before="280" w:beforeLines="0" w:after="290" w:afterLines="0" w:line="372" w:lineRule="auto"/>
      <w:jc w:val="center"/>
      <w:outlineLvl w:val="3"/>
    </w:pPr>
    <w:rPr>
      <w:rFonts w:hint="eastAsia" w:ascii="仿宋_GB2312" w:hAnsi="仿宋_GB2312" w:eastAsia="仿宋_GB2312" w:cs="仿宋_GB2312"/>
      <w:b/>
      <w:sz w:val="24"/>
      <w:szCs w:val="20"/>
    </w:rPr>
  </w:style>
  <w:style w:type="table" w:customStyle="1" w:styleId="19">
    <w:name w:val="Table Normal"/>
    <w:semiHidden/>
    <w:unhideWhenUsed/>
    <w:qFormat/>
    <w:uiPriority w:val="0"/>
    <w:tblPr>
      <w:tblCellMar>
        <w:top w:w="0" w:type="dxa"/>
        <w:left w:w="0" w:type="dxa"/>
        <w:bottom w:w="0" w:type="dxa"/>
        <w:right w:w="0" w:type="dxa"/>
      </w:tblCellMar>
    </w:tblPr>
  </w:style>
  <w:style w:type="paragraph" w:customStyle="1" w:styleId="20">
    <w:name w:val="Table Text"/>
    <w:basedOn w:val="1"/>
    <w:semiHidden/>
    <w:qFormat/>
    <w:uiPriority w:val="0"/>
    <w:rPr>
      <w:rFonts w:ascii="仿宋" w:hAnsi="仿宋" w:eastAsia="仿宋" w:cs="仿宋"/>
      <w:sz w:val="24"/>
      <w:szCs w:val="24"/>
      <w:lang w:val="en-US" w:eastAsia="en-US" w:bidi="ar-SA"/>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paragraph" w:customStyle="1" w:styleId="23">
    <w:name w:val="WPSOffice手动目录 3"/>
    <w:qFormat/>
    <w:uiPriority w:val="0"/>
    <w:pPr>
      <w:ind w:leftChars="400"/>
    </w:pPr>
    <w:rPr>
      <w:rFonts w:ascii="Times New Roman" w:hAnsi="Times New Roman" w:eastAsia="宋体" w:cs="Times New Roman"/>
      <w:sz w:val="20"/>
      <w:szCs w:val="20"/>
    </w:rPr>
  </w:style>
  <w:style w:type="character" w:customStyle="1" w:styleId="24">
    <w:name w:val="标题 3 Char"/>
    <w:link w:val="4"/>
    <w:qFormat/>
    <w:uiPriority w:val="0"/>
    <w:rPr>
      <w:rFonts w:hint="eastAsia" w:ascii="宋体" w:hAnsi="宋体" w:eastAsia="宋体" w:cs="宋体"/>
      <w:b/>
      <w:bCs/>
      <w:kern w:val="0"/>
      <w:sz w:val="27"/>
      <w:szCs w:val="27"/>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86135\Desktop\&#26032;&#24314;%20XLSX%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86135\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'[新建 XLSX 工作表.xlsx]Sheet1'!$K$33</c:f>
              <c:strCache>
                <c:ptCount val="1"/>
                <c:pt idx="0">
                  <c:v>生活满意度</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工作表.xlsx]Sheet1'!$J$34:$J$39</c:f>
              <c:strCache>
                <c:ptCount val="6"/>
                <c:pt idx="0">
                  <c:v>一月</c:v>
                </c:pt>
                <c:pt idx="1">
                  <c:v>四月</c:v>
                </c:pt>
                <c:pt idx="2">
                  <c:v>六月</c:v>
                </c:pt>
                <c:pt idx="3">
                  <c:v>九月</c:v>
                </c:pt>
                <c:pt idx="4">
                  <c:v>十一月</c:v>
                </c:pt>
              </c:strCache>
            </c:strRef>
          </c:cat>
          <c:val>
            <c:numRef>
              <c:f>'[新建 XLSX 工作表.xlsx]Sheet1'!$K$34:$K$39</c:f>
              <c:numCache>
                <c:formatCode>General</c:formatCode>
                <c:ptCount val="6"/>
                <c:pt idx="0">
                  <c:v>90</c:v>
                </c:pt>
                <c:pt idx="1">
                  <c:v>89</c:v>
                </c:pt>
                <c:pt idx="2">
                  <c:v>94</c:v>
                </c:pt>
                <c:pt idx="3">
                  <c:v>96</c:v>
                </c:pt>
                <c:pt idx="4">
                  <c:v>93</c:v>
                </c:pt>
              </c:numCache>
            </c:numRef>
          </c:val>
          <c:smooth val="0"/>
        </c:ser>
        <c:dLbls>
          <c:showLegendKey val="0"/>
          <c:showVal val="1"/>
          <c:showCatName val="0"/>
          <c:showSerName val="0"/>
          <c:showPercent val="0"/>
          <c:showBubbleSize val="0"/>
        </c:dLbls>
        <c:marker val="0"/>
        <c:smooth val="0"/>
        <c:axId val="859422324"/>
        <c:axId val="903523389"/>
      </c:lineChart>
      <c:catAx>
        <c:axId val="8594223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3523389"/>
        <c:crosses val="autoZero"/>
        <c:auto val="1"/>
        <c:lblAlgn val="ctr"/>
        <c:lblOffset val="100"/>
        <c:noMultiLvlLbl val="0"/>
      </c:catAx>
      <c:valAx>
        <c:axId val="90352338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942232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d8f3ecf-908e-42be-be53-49277f075da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p>
      </c:txPr>
    </c:title>
    <c:autoTitleDeleted val="0"/>
    <c:plotArea>
      <c:layout/>
      <c:lineChart>
        <c:grouping val="standard"/>
        <c:varyColors val="0"/>
        <c:ser>
          <c:idx val="0"/>
          <c:order val="0"/>
          <c:tx>
            <c:strRef>
              <c:f>'[新建 XLSX 工作表.xlsx]Sheet1'!$K$50</c:f>
              <c:strCache>
                <c:ptCount val="1"/>
                <c:pt idx="0">
                  <c:v>安全满意度</c:v>
                </c:pt>
              </c:strCache>
            </c:strRef>
          </c:tx>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工作表.xlsx]Sheet1'!$J$51:$J$55</c:f>
              <c:strCache>
                <c:ptCount val="5"/>
                <c:pt idx="0">
                  <c:v>一月</c:v>
                </c:pt>
                <c:pt idx="1">
                  <c:v>四月</c:v>
                </c:pt>
                <c:pt idx="2">
                  <c:v>六月</c:v>
                </c:pt>
                <c:pt idx="3">
                  <c:v>九月</c:v>
                </c:pt>
                <c:pt idx="4">
                  <c:v>十一月</c:v>
                </c:pt>
              </c:strCache>
            </c:strRef>
          </c:cat>
          <c:val>
            <c:numRef>
              <c:f>'[新建 XLSX 工作表.xlsx]Sheet1'!$K$51:$K$55</c:f>
              <c:numCache>
                <c:formatCode>General</c:formatCode>
                <c:ptCount val="5"/>
                <c:pt idx="0">
                  <c:v>95</c:v>
                </c:pt>
                <c:pt idx="1">
                  <c:v>96</c:v>
                </c:pt>
                <c:pt idx="2">
                  <c:v>94</c:v>
                </c:pt>
                <c:pt idx="3">
                  <c:v>95</c:v>
                </c:pt>
                <c:pt idx="4">
                  <c:v>94</c:v>
                </c:pt>
              </c:numCache>
            </c:numRef>
          </c:val>
          <c:smooth val="0"/>
        </c:ser>
        <c:dLbls>
          <c:showLegendKey val="0"/>
          <c:showVal val="1"/>
          <c:showCatName val="0"/>
          <c:showSerName val="0"/>
          <c:showPercent val="0"/>
          <c:showBubbleSize val="0"/>
        </c:dLbls>
        <c:marker val="0"/>
        <c:smooth val="0"/>
        <c:axId val="859422324"/>
        <c:axId val="903523389"/>
      </c:lineChart>
      <c:catAx>
        <c:axId val="85942232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03523389"/>
        <c:crosses val="autoZero"/>
        <c:auto val="1"/>
        <c:lblAlgn val="ctr"/>
        <c:lblOffset val="100"/>
        <c:noMultiLvlLbl val="0"/>
      </c:catAx>
      <c:valAx>
        <c:axId val="903523389"/>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5942232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6c713f3-ce5b-4e0c-a858-2dfc2a049f5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54</Pages>
  <Words>15450</Words>
  <Characters>15970</Characters>
  <TotalTime>35</TotalTime>
  <ScaleCrop>false</ScaleCrop>
  <LinksUpToDate>false</LinksUpToDate>
  <CharactersWithSpaces>16207</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2023-12-28T09:43:00Z</dcterms:created>
  <dc:creator>小朱</dc:creator>
  <cp:lastModifiedBy>SHANG</cp:lastModifiedBy>
  <cp:lastPrinted>2025-01-08T03:56:00Z</cp:lastPrinted>
  <dcterms:modified xsi:type="dcterms:W3CDTF">2025-12-13T00:47:30Z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2024-12-14T15:00:31Z</vt:filetime>
  </property>
  <property fmtid="{D5CDD505-2E9C-101B-9397-08002B2CF9AE}" pid="4" name="KSOProductBuildVer">
    <vt:lpwstr>2052-12.1.0.24034</vt:lpwstr>
  </property>
  <property fmtid="{D5CDD505-2E9C-101B-9397-08002B2CF9AE}" pid="5" name="ICV">
    <vt:lpwstr>6AEB22B6410E456FA3290CA2C533B646_13</vt:lpwstr>
  </property>
  <property fmtid="{D5CDD505-2E9C-101B-9397-08002B2CF9AE}" pid="6" name="KSOTemplateDocerSaveRecord">
    <vt:lpwstr>eyJoZGlkIjoiMjlmMWIwMGY3YTcyMjAyZjY2ZTc3ZjkzNzY5MDMxMmYiLCJ1c2VySWQiOiI2MTQ0NzI4NTEifQ==</vt:lpwstr>
  </property>
</Properties>
</file>